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cs="仿宋"/>
          <w:b/>
          <w:sz w:val="32"/>
          <w:szCs w:val="32"/>
        </w:rPr>
      </w:pPr>
      <w:r>
        <w:rPr>
          <w:rFonts w:hint="eastAsia" w:ascii="仿宋" w:hAnsi="仿宋" w:eastAsia="仿宋" w:cs="仿宋"/>
          <w:b/>
          <w:sz w:val="30"/>
          <w:szCs w:val="30"/>
        </w:rPr>
        <w:t>附件</w:t>
      </w:r>
      <w:r>
        <w:rPr>
          <w:rFonts w:ascii="仿宋" w:hAnsi="仿宋" w:eastAsia="仿宋" w:cs="仿宋"/>
          <w:b/>
          <w:sz w:val="30"/>
          <w:szCs w:val="30"/>
        </w:rPr>
        <w:t>2</w:t>
      </w:r>
      <w:r>
        <w:rPr>
          <w:rFonts w:hint="eastAsia" w:ascii="仿宋" w:hAnsi="仿宋" w:eastAsia="仿宋" w:cs="仿宋"/>
          <w:b/>
          <w:sz w:val="30"/>
          <w:szCs w:val="30"/>
        </w:rPr>
        <w:t xml:space="preserve">：   </w:t>
      </w:r>
      <w:r>
        <w:rPr>
          <w:rFonts w:hint="eastAsia" w:ascii="仿宋" w:hAnsi="仿宋" w:eastAsia="仿宋" w:cs="仿宋"/>
          <w:b/>
          <w:sz w:val="32"/>
          <w:szCs w:val="32"/>
        </w:rPr>
        <w:t>交通信息工程学院园湖校区</w:t>
      </w:r>
      <w:r>
        <w:rPr>
          <w:rFonts w:hint="eastAsia" w:ascii="仿宋" w:hAnsi="仿宋" w:eastAsia="仿宋" w:cs="仿宋"/>
          <w:b/>
          <w:sz w:val="32"/>
          <w:szCs w:val="32"/>
          <w:lang w:eastAsia="zh-CN"/>
        </w:rPr>
        <w:t>、</w:t>
      </w:r>
      <w:r>
        <w:rPr>
          <w:rFonts w:hint="eastAsia" w:ascii="仿宋" w:hAnsi="仿宋" w:eastAsia="仿宋" w:cs="仿宋"/>
          <w:b/>
          <w:sz w:val="32"/>
          <w:szCs w:val="32"/>
        </w:rPr>
        <w:t>相思湖校区实训基地设备采购</w:t>
      </w:r>
      <w:r>
        <w:rPr>
          <w:rFonts w:hint="eastAsia" w:ascii="仿宋" w:hAnsi="仿宋" w:eastAsia="仿宋" w:cs="仿宋"/>
          <w:b/>
          <w:sz w:val="32"/>
          <w:szCs w:val="32"/>
        </w:rPr>
        <w:t>协议书</w:t>
      </w:r>
    </w:p>
    <w:p>
      <w:pPr>
        <w:snapToGrid w:val="0"/>
        <w:spacing w:line="400" w:lineRule="exact"/>
        <w:rPr>
          <w:rFonts w:ascii="宋体" w:hAnsi="宋体"/>
          <w:szCs w:val="21"/>
        </w:rPr>
      </w:pPr>
      <w:bookmarkStart w:id="0" w:name="_GoBack"/>
      <w:bookmarkEnd w:id="0"/>
    </w:p>
    <w:p>
      <w:pPr>
        <w:pStyle w:val="2"/>
        <w:ind w:firstLine="210"/>
      </w:pPr>
    </w:p>
    <w:p>
      <w:pPr>
        <w:snapToGrid w:val="0"/>
        <w:spacing w:line="40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广西南宁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1、供货一览表</w:t>
      </w:r>
    </w:p>
    <w:tbl>
      <w:tblPr>
        <w:tblStyle w:val="6"/>
        <w:tblW w:w="8631" w:type="dxa"/>
        <w:tblInd w:w="93" w:type="dxa"/>
        <w:tblLayout w:type="fixed"/>
        <w:tblCellMar>
          <w:top w:w="0" w:type="dxa"/>
          <w:left w:w="108" w:type="dxa"/>
          <w:bottom w:w="0" w:type="dxa"/>
          <w:right w:w="108" w:type="dxa"/>
        </w:tblCellMar>
      </w:tblPr>
      <w:tblGrid>
        <w:gridCol w:w="656"/>
        <w:gridCol w:w="1710"/>
        <w:gridCol w:w="2590"/>
        <w:gridCol w:w="945"/>
        <w:gridCol w:w="780"/>
        <w:gridCol w:w="945"/>
        <w:gridCol w:w="1005"/>
      </w:tblGrid>
      <w:tr>
        <w:tblPrEx>
          <w:tblCellMar>
            <w:top w:w="0" w:type="dxa"/>
            <w:left w:w="108" w:type="dxa"/>
            <w:bottom w:w="0" w:type="dxa"/>
            <w:right w:w="108" w:type="dxa"/>
          </w:tblCellMar>
        </w:tblPrEx>
        <w:trPr>
          <w:trHeight w:val="345" w:hRule="atLeast"/>
        </w:trPr>
        <w:tc>
          <w:tcPr>
            <w:tcW w:w="8631" w:type="dxa"/>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b/>
                <w:bCs/>
                <w:color w:val="000000"/>
                <w:sz w:val="28"/>
                <w:szCs w:val="28"/>
              </w:rPr>
            </w:pPr>
          </w:p>
        </w:tc>
      </w:tr>
      <w:tr>
        <w:tblPrEx>
          <w:tblCellMar>
            <w:top w:w="0" w:type="dxa"/>
            <w:left w:w="108" w:type="dxa"/>
            <w:bottom w:w="0" w:type="dxa"/>
            <w:right w:w="108" w:type="dxa"/>
          </w:tblCellMar>
        </w:tblPrEx>
        <w:trPr>
          <w:trHeight w:val="10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货物（服务、工程）名称</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金额合计（元）</w:t>
            </w: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pStyle w:val="2"/>
        <w:ind w:firstLine="0" w:firstLineChars="0"/>
      </w:pPr>
    </w:p>
    <w:p>
      <w:pPr>
        <w:snapToGrid w:val="0"/>
        <w:spacing w:line="400" w:lineRule="exact"/>
        <w:ind w:firstLine="420" w:firstLineChars="200"/>
        <w:rPr>
          <w:rFonts w:ascii="宋体" w:hAnsi="宋体"/>
          <w:szCs w:val="21"/>
        </w:rPr>
      </w:pPr>
      <w:r>
        <w:rPr>
          <w:rFonts w:hint="eastAsia" w:ascii="宋体" w:hAnsi="宋体"/>
          <w:szCs w:val="21"/>
        </w:rPr>
        <w:t>2、合同合计金额包括货物价款，备件、专用工具、安装、调试、检验、技术培训及技术资料和包装、运输、税金等全部费用。（根据实践来填）</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1、乙方所提供的货物型号、技术规格、技术参数等质量必须与招投标文件和承诺相一致。</w:t>
      </w:r>
    </w:p>
    <w:p>
      <w:pPr>
        <w:snapToGrid w:val="0"/>
        <w:spacing w:line="400" w:lineRule="exact"/>
        <w:ind w:firstLine="420" w:firstLineChars="200"/>
        <w:rPr>
          <w:rFonts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1、乙方应保证所提供货物在使用时不会侵犯任何第三方的专利权、商标权、工业设计权或其他权利。</w:t>
      </w:r>
    </w:p>
    <w:p>
      <w:pPr>
        <w:snapToGrid w:val="0"/>
        <w:spacing w:line="400" w:lineRule="exact"/>
        <w:ind w:firstLine="420" w:firstLineChars="200"/>
        <w:rPr>
          <w:rFonts w:ascii="宋体" w:hAnsi="宋体"/>
          <w:szCs w:val="21"/>
        </w:rPr>
      </w:pPr>
      <w:r>
        <w:rPr>
          <w:rFonts w:hint="eastAsia" w:ascii="宋体" w:hAnsi="宋体"/>
          <w:szCs w:val="21"/>
        </w:rPr>
        <w:t>2、乙方应按采购文件规定的时间向甲方提供使用货物的有关技术资料。</w:t>
      </w:r>
    </w:p>
    <w:p>
      <w:pPr>
        <w:snapToGrid w:val="0"/>
        <w:spacing w:line="400" w:lineRule="exact"/>
        <w:ind w:firstLine="420" w:firstLineChars="200"/>
        <w:rPr>
          <w:rFonts w:ascii="宋体" w:hAnsi="宋体"/>
          <w:szCs w:val="21"/>
        </w:rPr>
      </w:pPr>
      <w:r>
        <w:rPr>
          <w:rFonts w:hint="eastAsia" w:ascii="宋体" w:hAnsi="宋体"/>
          <w:szCs w:val="21"/>
        </w:rPr>
        <w:t>3、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hAnsi="宋体"/>
          <w:szCs w:val="21"/>
        </w:rPr>
      </w:pPr>
      <w:r>
        <w:rPr>
          <w:rFonts w:hint="eastAsia" w:ascii="宋体" w:hAnsi="宋体"/>
          <w:szCs w:val="21"/>
        </w:rPr>
        <w:t>4、乙方保证所交付的货物的所有权完全属于乙方且无任何抵押、质押、查封等产权瑕疵。</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ascii="宋体" w:hAnsi="宋体"/>
          <w:szCs w:val="21"/>
        </w:rPr>
      </w:pPr>
      <w:r>
        <w:rPr>
          <w:rFonts w:hint="eastAsia" w:ascii="宋体" w:hAnsi="宋体"/>
          <w:b/>
          <w:szCs w:val="21"/>
        </w:rPr>
        <w:t>第五条　交付和验收</w:t>
      </w:r>
    </w:p>
    <w:p>
      <w:pPr>
        <w:snapToGrid w:val="0"/>
        <w:spacing w:line="400" w:lineRule="exact"/>
        <w:ind w:firstLine="420" w:firstLineChars="200"/>
        <w:rPr>
          <w:rFonts w:ascii="宋体" w:hAnsi="宋体"/>
          <w:szCs w:val="21"/>
        </w:rPr>
      </w:pPr>
      <w:r>
        <w:rPr>
          <w:rFonts w:hint="eastAsia" w:ascii="宋体" w:hAnsi="宋体"/>
          <w:szCs w:val="21"/>
        </w:rPr>
        <w:t>1、交货时间及地点见项目要求。</w:t>
      </w:r>
    </w:p>
    <w:p>
      <w:pPr>
        <w:snapToGrid w:val="0"/>
        <w:spacing w:line="400" w:lineRule="exact"/>
        <w:ind w:firstLine="420" w:firstLineChars="200"/>
        <w:rPr>
          <w:rFonts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ascii="宋体" w:hAnsi="宋体"/>
          <w:szCs w:val="21"/>
        </w:rPr>
      </w:pPr>
      <w:r>
        <w:rPr>
          <w:rFonts w:hint="eastAsia" w:ascii="宋体" w:hAnsi="宋体"/>
          <w:szCs w:val="21"/>
        </w:rPr>
        <w:t>3、乙方应将所提供货物的装箱清单、用户手册、原厂保修卡、随机资料、工具和备品、备件等交付给甲方，如有缺失应及时补齐，否则视为逾期交货。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5个工作 </w:t>
      </w:r>
      <w:r>
        <w:rPr>
          <w:rFonts w:hint="eastAsia" w:ascii="宋体" w:hAnsi="宋体"/>
          <w:szCs w:val="21"/>
        </w:rPr>
        <w:t>日内及时予以解决。</w:t>
      </w:r>
    </w:p>
    <w:p>
      <w:pPr>
        <w:pStyle w:val="2"/>
        <w:ind w:firstLine="210"/>
      </w:pPr>
      <w:r>
        <w:rPr>
          <w:rFonts w:hint="eastAsia" w:ascii="宋体" w:hAnsi="宋体"/>
          <w:szCs w:val="21"/>
        </w:rPr>
        <w:t xml:space="preserve">  7、供货时</w:t>
      </w:r>
      <w:r>
        <w:rPr>
          <w:rFonts w:hint="eastAsia" w:asciiTheme="minorEastAsia" w:hAnsiTheme="minorEastAsia" w:cstheme="minorEastAsia"/>
          <w:kern w:val="0"/>
          <w:szCs w:val="21"/>
          <w:lang w:bidi="ar"/>
        </w:rPr>
        <w:t>必须</w:t>
      </w:r>
      <w:r>
        <w:rPr>
          <w:rFonts w:hint="eastAsia"/>
        </w:rPr>
        <w:t>提供</w:t>
      </w:r>
      <w:r>
        <w:rPr>
          <w:rFonts w:hint="eastAsia" w:asciiTheme="minorEastAsia" w:hAnsiTheme="minorEastAsia" w:cstheme="minorEastAsia"/>
          <w:kern w:val="0"/>
          <w:szCs w:val="21"/>
          <w:lang w:bidi="ar"/>
        </w:rPr>
        <w:t>权威检测机构出具测试报告证明，否则，视为废标处理，如强制性安装设备的，不予验收。</w:t>
      </w:r>
    </w:p>
    <w:p>
      <w:pPr>
        <w:snapToGrid w:val="0"/>
        <w:spacing w:line="400" w:lineRule="exact"/>
        <w:ind w:firstLine="422" w:firstLineChars="200"/>
        <w:rPr>
          <w:rFonts w:ascii="宋体" w:hAnsi="宋体"/>
          <w:b/>
          <w:szCs w:val="21"/>
        </w:rPr>
      </w:pPr>
      <w:r>
        <w:rPr>
          <w:rFonts w:hint="eastAsia" w:ascii="宋体" w:hAnsi="宋体"/>
          <w:b/>
          <w:szCs w:val="21"/>
        </w:rPr>
        <w:t>第六条  售后服务、质保期</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2、货物保修期：1年（自最终验收合格之日起算）。</w:t>
      </w:r>
    </w:p>
    <w:p>
      <w:pPr>
        <w:numPr>
          <w:ilvl w:val="255"/>
          <w:numId w:val="0"/>
        </w:numPr>
        <w:spacing w:line="440" w:lineRule="exact"/>
        <w:ind w:firstLine="422" w:firstLineChars="200"/>
        <w:rPr>
          <w:rFonts w:ascii="仿宋" w:hAnsi="仿宋" w:eastAsia="仿宋"/>
          <w:b/>
          <w:bCs/>
          <w:sz w:val="32"/>
          <w:szCs w:val="32"/>
        </w:rPr>
      </w:pPr>
      <w:r>
        <w:rPr>
          <w:rFonts w:hint="eastAsia" w:ascii="宋体" w:hAnsi="宋体"/>
          <w:b/>
          <w:szCs w:val="21"/>
        </w:rPr>
        <w:t>第七条　送货地址、期限及付款方式</w:t>
      </w:r>
    </w:p>
    <w:p>
      <w:pPr>
        <w:numPr>
          <w:ilvl w:val="255"/>
          <w:numId w:val="0"/>
        </w:numPr>
        <w:snapToGrid w:val="0"/>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送货地址：南宁市园湖北路12号广西交通职业技术学院园湖校区（交通信息工程学院信息楼）、</w:t>
      </w:r>
      <w:r>
        <w:rPr>
          <w:rFonts w:hint="eastAsia" w:asciiTheme="minorEastAsia" w:hAnsiTheme="minorEastAsia" w:cstheme="minorEastAsia"/>
          <w:szCs w:val="21"/>
          <w:lang w:val="en-US" w:eastAsia="zh-CN"/>
        </w:rPr>
        <w:t>南宁市大学路109号广西交通职业技术学院</w:t>
      </w:r>
      <w:r>
        <w:rPr>
          <w:rFonts w:hint="eastAsia" w:asciiTheme="minorEastAsia" w:hAnsiTheme="minorEastAsia" w:cstheme="minorEastAsia"/>
          <w:szCs w:val="21"/>
        </w:rPr>
        <w:t>相思湖校区（东教信息楼）。</w:t>
      </w:r>
    </w:p>
    <w:p>
      <w:pPr>
        <w:numPr>
          <w:ilvl w:val="255"/>
          <w:numId w:val="0"/>
        </w:numPr>
        <w:snapToGrid w:val="0"/>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、送货期限：从合同签定之日起30个工作日交付完毕。</w:t>
      </w:r>
    </w:p>
    <w:p>
      <w:pPr>
        <w:numPr>
          <w:ilvl w:val="255"/>
          <w:numId w:val="0"/>
        </w:numPr>
        <w:snapToGrid w:val="0"/>
        <w:spacing w:line="40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、付款方式：完成送货及验收之后15个工作日内一次支付，由中标企业提供正式发票后，款项以转账方式付清。</w:t>
      </w:r>
    </w:p>
    <w:p>
      <w:pPr>
        <w:snapToGrid w:val="0"/>
        <w:spacing w:line="400" w:lineRule="exact"/>
        <w:ind w:left="-61" w:firstLine="514"/>
        <w:rPr>
          <w:rFonts w:ascii="宋体" w:hAnsi="宋体"/>
          <w:b/>
          <w:szCs w:val="21"/>
        </w:rPr>
      </w:pPr>
      <w:r>
        <w:rPr>
          <w:rFonts w:hint="eastAsia" w:ascii="宋体" w:hAnsi="宋体"/>
          <w:b/>
          <w:szCs w:val="21"/>
        </w:rPr>
        <w:t>第八条  税费</w:t>
      </w:r>
    </w:p>
    <w:p>
      <w:pPr>
        <w:snapToGrid w:val="0"/>
        <w:spacing w:line="400" w:lineRule="exact"/>
        <w:ind w:left="-61" w:firstLine="514"/>
        <w:rPr>
          <w:rFonts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第九条  质量保证及售后服务</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乙方应按采购文件规定的货物性能、技术要求、质量标准向甲方提供未经使用的全新产品。不符合要求的，根据实际情况，经双方协商，可按以下办法处理：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⑴更换：由乙方承担所发生的全部费用。</w:t>
      </w:r>
    </w:p>
    <w:p>
      <w:pPr>
        <w:pStyle w:val="4"/>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rPr>
        <w:t>⑵贬值处理：由甲乙双方合议定价。</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⑶退货处理：乙方应退还甲方支付的合同款，同时应承担该货物的直接费用（运输、保险、检验、货款利息及银行手续费等）。</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如在使用过程中发生质量问题，乙方在接到甲方通知后在</w:t>
      </w:r>
      <w:r>
        <w:rPr>
          <w:rFonts w:hint="eastAsia" w:asciiTheme="minorEastAsia" w:hAnsiTheme="minorEastAsia" w:cstheme="minorEastAsia"/>
          <w:sz w:val="21"/>
          <w:u w:val="single"/>
        </w:rPr>
        <w:t xml:space="preserve"> 8  </w:t>
      </w:r>
      <w:r>
        <w:rPr>
          <w:rFonts w:hint="eastAsia" w:asciiTheme="minorEastAsia" w:hAnsiTheme="minorEastAsia" w:cstheme="minorEastAsia"/>
          <w:sz w:val="21"/>
        </w:rPr>
        <w:t>小时内到达甲方现场处理。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在质保期内，乙方应对货物出现的质量及安全问题负责处理解决并承担一切费用。</w:t>
      </w:r>
    </w:p>
    <w:p>
      <w:pPr>
        <w:snapToGrid w:val="0"/>
        <w:spacing w:line="400" w:lineRule="exact"/>
        <w:ind w:left="-61" w:firstLine="514"/>
        <w:rPr>
          <w:rFonts w:ascii="宋体" w:hAnsi="宋体"/>
          <w:szCs w:val="21"/>
        </w:rPr>
      </w:pPr>
      <w:r>
        <w:rPr>
          <w:rFonts w:hint="eastAsia" w:ascii="宋体" w:hAnsi="宋体"/>
          <w:b/>
          <w:szCs w:val="21"/>
        </w:rPr>
        <w:t>第十条  调试和验收</w:t>
      </w:r>
    </w:p>
    <w:p>
      <w:pPr>
        <w:pStyle w:val="4"/>
        <w:snapToGrid w:val="0"/>
        <w:spacing w:line="400" w:lineRule="exact"/>
        <w:ind w:firstLine="420" w:firstLineChars="200"/>
        <w:jc w:val="left"/>
        <w:rPr>
          <w:rFonts w:asciiTheme="minorEastAsia" w:hAnsiTheme="minorEastAsia" w:cstheme="minorEastAsia"/>
          <w:sz w:val="21"/>
        </w:rPr>
      </w:pPr>
      <w:r>
        <w:rPr>
          <w:rFonts w:hint="eastAsia" w:asciiTheme="minorEastAsia" w:hAnsiTheme="minorEastAsia" w:cstheme="minorEastAsia"/>
          <w:sz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乙方交货前应对产品作出全面检查和对验收文件进行整理，并列出清单，作为甲方收货验收和使用的技术条件依据，检验的结果应随货物交甲方。</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甲方对乙方提供的货物在使用前进行调试时，乙方需负责安装并培训甲方的使用操作人员，并协助甲方一起调试，直到符合技术要求，甲方才做最终验收。</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4. 对技术复杂的货物，甲方应请国家认可的专业检测机构参与初步验收及最终验收，并由其出具质量检测报告。</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验收时乙方必须在现场，验收完毕后作出验收结果报告；验收费用由乙方负责。</w:t>
      </w:r>
    </w:p>
    <w:p>
      <w:pPr>
        <w:snapToGrid w:val="0"/>
        <w:spacing w:line="400" w:lineRule="exact"/>
        <w:ind w:firstLine="422" w:firstLineChars="200"/>
        <w:rPr>
          <w:rFonts w:ascii="宋体" w:hAnsi="宋体"/>
          <w:b/>
          <w:szCs w:val="21"/>
        </w:rPr>
      </w:pPr>
      <w:r>
        <w:rPr>
          <w:rFonts w:hint="eastAsia" w:ascii="宋体" w:hAnsi="宋体"/>
          <w:b/>
          <w:szCs w:val="21"/>
        </w:rPr>
        <w:t>第十一条  货物包装、发运及运输</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乙方应在货物发运前对其进行满足运输距离、防潮、防震、防锈和防破损装卸等要求包装，以保证货物安全运达甲方指定地点。</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使用说明书、质量检验证明书、随配附件和工具以及清单一并附于货物内。</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乙方在货物发运手续办理完毕后二十四小时内或货到甲方四十八小时前通知甲方，以准备接货。</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4. 货物在交付甲方前发生的风险均由乙方负责。</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Theme="minorEastAsia" w:hAnsiTheme="minorEastAsia" w:cstheme="minorEastAsia"/>
          <w:szCs w:val="21"/>
        </w:rPr>
      </w:pPr>
      <w:r>
        <w:rPr>
          <w:rFonts w:hint="eastAsia" w:asciiTheme="minorEastAsia" w:hAnsiTheme="minorEastAsia" w:cstheme="minorEastAsia"/>
          <w:szCs w:val="21"/>
        </w:rPr>
        <w:t>2、乙方提供的货物如侵犯了第三方合法权益而引发的任何纠纷或诉讼，均由乙方负责交涉并承担全部责任。</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3、因包装、运输引起的货物损坏，按质量不合格处罚。</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4、乙方未按本合同和投标文件中规定的服务承诺提供售后服务的，乙方应按本合同合计金额</w:t>
      </w:r>
      <w:r>
        <w:rPr>
          <w:rFonts w:hint="eastAsia" w:asciiTheme="minorEastAsia" w:hAnsiTheme="minorEastAsia" w:cstheme="minorEastAsia"/>
          <w:szCs w:val="21"/>
          <w:u w:val="single"/>
        </w:rPr>
        <w:t xml:space="preserve"> 5%</w:t>
      </w:r>
      <w:r>
        <w:rPr>
          <w:rFonts w:hint="eastAsia" w:asciiTheme="minorEastAsia" w:hAnsiTheme="minorEastAsia" w:cstheme="minorEastAsia"/>
          <w:szCs w:val="21"/>
        </w:rPr>
        <w:t>向甲方支付违约金。</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5、乙方提供的货物在质保期内，因设计、工艺或材料的缺陷和其它质量原因造成的问题，由乙方负责，费用从质量保证金中扣除，不足另补。</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6、其它违约行为按违约货款额5%收取违约金并赔偿经济损失。</w:t>
      </w:r>
    </w:p>
    <w:p>
      <w:pPr>
        <w:snapToGrid w:val="0"/>
        <w:spacing w:line="400" w:lineRule="exact"/>
        <w:ind w:firstLine="422" w:firstLineChars="200"/>
        <w:rPr>
          <w:rFonts w:ascii="宋体" w:hAnsi="宋体"/>
          <w:b/>
          <w:szCs w:val="21"/>
        </w:rPr>
      </w:pPr>
      <w:r>
        <w:rPr>
          <w:rFonts w:hint="eastAsia" w:ascii="宋体" w:hAnsi="宋体"/>
          <w:b/>
          <w:szCs w:val="21"/>
        </w:rPr>
        <w:t>第十三条  不可抗力事件处理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在合同有效期内，任何一方因不可抗力事件导致不能履行合同，则合同履行期可延长，其延长期与不可抗力影响期相同。</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不可抗力事件发生后，应立即通知对方，并寄送有关权威机构出具的证明。</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3. 不可抗力事件延续一百二十天以上，双方应通过友好协商，确定是否继续履行合同。</w:t>
      </w:r>
    </w:p>
    <w:p>
      <w:pPr>
        <w:snapToGrid w:val="0"/>
        <w:spacing w:line="400" w:lineRule="exact"/>
        <w:ind w:firstLine="422" w:firstLineChars="200"/>
        <w:rPr>
          <w:rFonts w:ascii="宋体" w:hAnsi="宋体"/>
          <w:szCs w:val="21"/>
        </w:rPr>
      </w:pPr>
      <w:r>
        <w:rPr>
          <w:rFonts w:hint="eastAsia" w:ascii="宋体" w:hAnsi="宋体"/>
          <w:b/>
          <w:szCs w:val="21"/>
        </w:rPr>
        <w:t>第十四条  合同争议解决</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4"/>
        <w:snapToGrid w:val="0"/>
        <w:spacing w:line="400" w:lineRule="exact"/>
        <w:ind w:firstLine="413" w:firstLineChars="196"/>
        <w:rPr>
          <w:rFonts w:hAnsi="宋体"/>
          <w:b/>
          <w:kern w:val="2"/>
          <w:sz w:val="21"/>
        </w:rPr>
      </w:pPr>
      <w:r>
        <w:rPr>
          <w:rFonts w:hint="eastAsia" w:hAnsi="宋体"/>
          <w:b/>
          <w:kern w:val="2"/>
          <w:sz w:val="21"/>
        </w:rPr>
        <w:t>第十五条  合同生效及其它</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1.合同经双方法定代表人或被授权代表签字并加盖单位公章后生效。</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第十六条　合同的变更、终止与转让</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1、除《中华人民共和国政府采购法》第五十条规定的情形外，本合同一经签订，甲乙双方不得擅自变更、中止或终止。</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2、乙方不得擅自转让（无进口资格的供应商委托进口货物除外）其应履行的合同义务。</w:t>
      </w:r>
    </w:p>
    <w:p>
      <w:pPr>
        <w:snapToGrid w:val="0"/>
        <w:spacing w:line="400" w:lineRule="exact"/>
        <w:ind w:firstLine="422" w:firstLineChars="200"/>
        <w:rPr>
          <w:rFonts w:ascii="宋体" w:hAnsi="宋体"/>
          <w:b/>
          <w:szCs w:val="21"/>
        </w:rPr>
      </w:pPr>
      <w:r>
        <w:rPr>
          <w:rFonts w:hint="eastAsia" w:ascii="宋体" w:hAnsi="宋体"/>
          <w:b/>
          <w:szCs w:val="21"/>
        </w:rPr>
        <w:t>第十七条　签订本合同依据</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1、项目采购文件；</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2、乙方提供的报价文件；</w:t>
      </w:r>
    </w:p>
    <w:p>
      <w:pPr>
        <w:pStyle w:val="4"/>
        <w:snapToGrid w:val="0"/>
        <w:spacing w:line="400" w:lineRule="exact"/>
        <w:ind w:left="420" w:leftChars="200"/>
        <w:rPr>
          <w:rFonts w:asciiTheme="minorEastAsia" w:hAnsiTheme="minorEastAsia" w:cstheme="minorEastAsia"/>
          <w:b/>
          <w:sz w:val="21"/>
        </w:rPr>
      </w:pPr>
      <w:r>
        <w:rPr>
          <w:rFonts w:hint="eastAsia" w:asciiTheme="minorEastAsia" w:hAnsiTheme="minorEastAsia" w:cstheme="minorEastAsia"/>
          <w:sz w:val="21"/>
        </w:rPr>
        <w:t>3、成交公告书。</w:t>
      </w:r>
    </w:p>
    <w:p>
      <w:pPr>
        <w:snapToGrid w:val="0"/>
        <w:spacing w:line="400" w:lineRule="exact"/>
        <w:ind w:firstLine="422" w:firstLineChars="200"/>
        <w:rPr>
          <w:rFonts w:ascii="宋体" w:hAnsi="宋体" w:eastAsia="宋体" w:cs="宋体"/>
          <w:sz w:val="20"/>
          <w:szCs w:val="20"/>
        </w:rPr>
      </w:pPr>
      <w:r>
        <w:rPr>
          <w:rFonts w:hint="eastAsia" w:ascii="宋体" w:hAnsi="宋体"/>
          <w:b/>
          <w:szCs w:val="21"/>
        </w:rPr>
        <w:t>第十八条　</w:t>
      </w:r>
      <w:r>
        <w:rPr>
          <w:rFonts w:hint="eastAsia" w:ascii="宋体" w:hAnsi="宋体" w:eastAsia="宋体" w:cs="宋体"/>
          <w:szCs w:val="21"/>
        </w:rPr>
        <w:t>本合同一式伍份，具有同等法律效力，甲方肆份，乙方壹份，采购代理机构壹份。本合同甲乙双方签字盖章后生效。</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Cs w:val="21"/>
              </w:rPr>
            </w:pPr>
            <w:r>
              <w:rPr>
                <w:rFonts w:hint="eastAsia" w:ascii="宋体" w:hAnsi="宋体"/>
                <w:szCs w:val="21"/>
              </w:rPr>
              <w:t xml:space="preserve">甲方（章）           </w:t>
            </w:r>
          </w:p>
          <w:p>
            <w:pPr>
              <w:snapToGrid w:val="0"/>
              <w:spacing w:line="400" w:lineRule="exact"/>
              <w:rPr>
                <w:rFonts w:ascii="宋体" w:hAnsi="宋体"/>
                <w:szCs w:val="21"/>
              </w:rPr>
            </w:pPr>
          </w:p>
          <w:p>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4264" w:type="dxa"/>
            <w:vAlign w:val="center"/>
          </w:tcPr>
          <w:p>
            <w:pPr>
              <w:snapToGrid w:val="0"/>
              <w:spacing w:line="400" w:lineRule="exact"/>
              <w:rPr>
                <w:rFonts w:ascii="宋体" w:hAnsi="宋体"/>
                <w:szCs w:val="21"/>
              </w:rPr>
            </w:pPr>
            <w:r>
              <w:rPr>
                <w:rFonts w:hint="eastAsia" w:ascii="宋体" w:hAnsi="宋体"/>
                <w:szCs w:val="21"/>
              </w:rPr>
              <w:t xml:space="preserve">乙方（章）              </w:t>
            </w:r>
          </w:p>
          <w:p>
            <w:pPr>
              <w:snapToGrid w:val="0"/>
              <w:spacing w:line="400" w:lineRule="exact"/>
              <w:rPr>
                <w:rFonts w:ascii="宋体" w:hAnsi="宋体"/>
                <w:szCs w:val="21"/>
              </w:rPr>
            </w:pPr>
          </w:p>
          <w:p>
            <w:pPr>
              <w:snapToGrid w:val="0"/>
              <w:spacing w:line="40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单位地址：南宁市昆仑大道1258号</w:t>
            </w:r>
          </w:p>
        </w:tc>
        <w:tc>
          <w:tcPr>
            <w:tcW w:w="4264" w:type="dxa"/>
            <w:vAlign w:val="center"/>
          </w:tcPr>
          <w:p>
            <w:pPr>
              <w:snapToGrid w:val="0"/>
              <w:spacing w:line="4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lang w:eastAsia="zh-CN"/>
              </w:rPr>
              <w:t>（</w:t>
            </w:r>
            <w:r>
              <w:rPr>
                <w:rFonts w:hint="eastAsia" w:ascii="宋体" w:hAnsi="宋体"/>
                <w:szCs w:val="21"/>
                <w:lang w:val="en-US" w:eastAsia="zh-CN"/>
              </w:rPr>
              <w:t>或</w:t>
            </w:r>
            <w:r>
              <w:rPr>
                <w:rFonts w:hint="eastAsia" w:ascii="宋体" w:hAnsi="宋体"/>
                <w:szCs w:val="21"/>
                <w:lang w:eastAsia="zh-CN"/>
              </w:rPr>
              <w:t>）</w:t>
            </w:r>
            <w:r>
              <w:rPr>
                <w:rFonts w:hint="eastAsia" w:ascii="宋体" w:hAnsi="宋体"/>
                <w:szCs w:val="21"/>
              </w:rPr>
              <w:t>委托代理人：</w:t>
            </w:r>
          </w:p>
        </w:tc>
        <w:tc>
          <w:tcPr>
            <w:tcW w:w="4264" w:type="dxa"/>
            <w:vAlign w:val="center"/>
          </w:tcPr>
          <w:p>
            <w:pPr>
              <w:snapToGrid w:val="0"/>
              <w:spacing w:line="400" w:lineRule="exact"/>
              <w:rPr>
                <w:rFonts w:ascii="宋体" w:hAnsi="宋体"/>
                <w:szCs w:val="21"/>
              </w:rPr>
            </w:pPr>
            <w:r>
              <w:rPr>
                <w:rFonts w:hint="eastAsia" w:ascii="宋体" w:hAnsi="宋体"/>
                <w:szCs w:val="21"/>
                <w:lang w:eastAsia="zh-CN"/>
              </w:rPr>
              <w:t>（</w:t>
            </w:r>
            <w:r>
              <w:rPr>
                <w:rFonts w:hint="eastAsia" w:ascii="宋体" w:hAnsi="宋体"/>
                <w:szCs w:val="21"/>
                <w:lang w:val="en-US" w:eastAsia="zh-CN"/>
              </w:rPr>
              <w:t>或</w:t>
            </w:r>
            <w:r>
              <w:rPr>
                <w:rFonts w:hint="eastAsia" w:ascii="宋体" w:hAnsi="宋体"/>
                <w:szCs w:val="21"/>
                <w:lang w:eastAsia="zh-CN"/>
              </w:rPr>
              <w:t>）</w:t>
            </w: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电话：</w:t>
            </w:r>
          </w:p>
        </w:tc>
        <w:tc>
          <w:tcPr>
            <w:tcW w:w="4264" w:type="dxa"/>
            <w:vAlign w:val="center"/>
          </w:tcPr>
          <w:p>
            <w:pPr>
              <w:snapToGrid w:val="0"/>
              <w:spacing w:line="40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账号：</w:t>
            </w:r>
          </w:p>
        </w:tc>
        <w:tc>
          <w:tcPr>
            <w:tcW w:w="4264" w:type="dxa"/>
            <w:vAlign w:val="center"/>
          </w:tcPr>
          <w:p>
            <w:pPr>
              <w:snapToGrid w:val="0"/>
              <w:spacing w:line="40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r>
    </w:tbl>
    <w:p/>
    <w:p>
      <w:pPr>
        <w:spacing w:line="440" w:lineRule="exact"/>
        <w:rPr>
          <w:rFonts w:ascii="仿宋" w:hAnsi="仿宋" w:eastAsia="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A1F00"/>
    <w:rsid w:val="457A1F00"/>
    <w:rsid w:val="5989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2021-07-01T06:59:00Z</dcterms:created>
  <dc:creator>李克元</dc:creator>
  <cp:lastModifiedBy>李克元</cp:lastModifiedBy>
  <dcterms:modified xsi:type="dcterms:W3CDTF">2021-07-05T07:11:54Z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E1E6E1703DAE40C88E9814985957FE8B</vt:lpwstr>
  </property>
</Properties>
</file>