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eastAsia="宋体" w:cs="宋体"/>
          <w:b/>
          <w:kern w:val="0"/>
          <w:sz w:val="36"/>
          <w:szCs w:val="36"/>
        </w:rPr>
      </w:pPr>
      <w:r>
        <w:rPr>
          <w:rFonts w:hint="eastAsia" w:ascii="宋体" w:hAnsi="宋体" w:eastAsia="宋体" w:cs="宋体"/>
          <w:b/>
          <w:kern w:val="0"/>
          <w:sz w:val="36"/>
          <w:szCs w:val="36"/>
        </w:rPr>
        <w:t>四塘校区学生公寓1-5栋钢制家具翻新服务项目</w:t>
      </w:r>
      <w:r>
        <w:rPr>
          <w:rFonts w:hint="eastAsia" w:ascii="仿宋" w:hAnsi="仿宋" w:eastAsia="仿宋" w:cs="Times New Roman"/>
          <w:b/>
          <w:sz w:val="36"/>
          <w:szCs w:val="36"/>
        </w:rPr>
        <w:t>公告</w:t>
      </w:r>
    </w:p>
    <w:p>
      <w:pPr>
        <w:pStyle w:val="13"/>
        <w:widowControl/>
        <w:numPr>
          <w:numId w:val="0"/>
        </w:numPr>
        <w:ind w:leftChars="0" w:firstLine="600" w:firstLineChars="200"/>
        <w:jc w:val="left"/>
        <w:rPr>
          <w:rFonts w:ascii="华文仿宋" w:hAnsi="华文仿宋" w:eastAsia="华文仿宋" w:cs="华文仿宋"/>
          <w:sz w:val="30"/>
          <w:szCs w:val="30"/>
        </w:rPr>
      </w:pPr>
      <w:r>
        <w:rPr>
          <w:rFonts w:hint="eastAsia" w:ascii="华文仿宋" w:hAnsi="华文仿宋" w:eastAsia="华文仿宋" w:cs="华文仿宋"/>
          <w:sz w:val="30"/>
          <w:szCs w:val="30"/>
        </w:rPr>
        <w:t>广西交通职业技术学院因学生公寓钢制家具翻新的需要，现面向社会询价，欢迎合格的投标人前来竞标。</w:t>
      </w:r>
    </w:p>
    <w:p>
      <w:pPr>
        <w:pStyle w:val="13"/>
        <w:widowControl/>
        <w:numPr>
          <w:numId w:val="0"/>
        </w:numPr>
        <w:ind w:leftChars="0"/>
        <w:rPr>
          <w:rFonts w:ascii="宋体" w:hAnsi="宋体" w:eastAsia="宋体" w:cs="宋体"/>
          <w:kern w:val="0"/>
          <w:sz w:val="22"/>
        </w:rPr>
      </w:pPr>
      <w:r>
        <w:rPr>
          <w:rFonts w:hint="eastAsia" w:ascii="宋体" w:hAnsi="宋体" w:eastAsia="宋体" w:cs="宋体"/>
          <w:b/>
          <w:bCs/>
          <w:color w:val="000000"/>
          <w:kern w:val="0"/>
          <w:sz w:val="28"/>
          <w:szCs w:val="28"/>
          <w:lang w:eastAsia="zh-CN"/>
        </w:rPr>
        <w:t>一、</w:t>
      </w:r>
      <w:r>
        <w:rPr>
          <w:rFonts w:hint="eastAsia" w:ascii="宋体" w:hAnsi="宋体" w:eastAsia="宋体" w:cs="宋体"/>
          <w:b/>
          <w:bCs/>
          <w:color w:val="000000"/>
          <w:kern w:val="0"/>
          <w:sz w:val="28"/>
          <w:szCs w:val="28"/>
        </w:rPr>
        <w:t>采购项目名称：</w:t>
      </w:r>
      <w:r>
        <w:rPr>
          <w:rFonts w:hint="eastAsia" w:ascii="华文仿宋" w:hAnsi="华文仿宋" w:eastAsia="华文仿宋" w:cs="华文仿宋"/>
          <w:sz w:val="30"/>
          <w:szCs w:val="30"/>
        </w:rPr>
        <w:t>四塘校区学生公寓1-5栋钢制家具翻新服务</w:t>
      </w:r>
    </w:p>
    <w:p>
      <w:pPr>
        <w:pStyle w:val="13"/>
        <w:widowControl/>
        <w:ind w:firstLine="0" w:firstLineChars="0"/>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lang w:eastAsia="zh-CN"/>
        </w:rPr>
        <w:t>二</w:t>
      </w:r>
      <w:r>
        <w:rPr>
          <w:rFonts w:hint="eastAsia" w:ascii="宋体" w:hAnsi="宋体" w:eastAsia="宋体" w:cs="宋体"/>
          <w:b/>
          <w:bCs/>
          <w:color w:val="000000"/>
          <w:kern w:val="0"/>
          <w:sz w:val="28"/>
          <w:szCs w:val="28"/>
        </w:rPr>
        <w:t>、项目要求及报价表：</w:t>
      </w:r>
    </w:p>
    <w:p>
      <w:pPr>
        <w:widowControl/>
        <w:numPr>
          <w:ilvl w:val="0"/>
          <w:numId w:val="1"/>
        </w:numPr>
        <w:ind w:firstLine="640"/>
        <w:jc w:val="left"/>
        <w:rPr>
          <w:rFonts w:ascii="华文仿宋" w:hAnsi="华文仿宋" w:eastAsia="华文仿宋" w:cs="华文仿宋"/>
          <w:sz w:val="30"/>
          <w:szCs w:val="30"/>
        </w:rPr>
      </w:pPr>
      <w:r>
        <w:rPr>
          <w:rFonts w:hint="eastAsia" w:ascii="华文仿宋" w:hAnsi="华文仿宋" w:eastAsia="华文仿宋" w:cs="华文仿宋"/>
          <w:sz w:val="30"/>
          <w:szCs w:val="30"/>
        </w:rPr>
        <w:t>项目内容：四塘校区1-5栋学生公寓</w:t>
      </w:r>
      <w:r>
        <w:rPr>
          <w:rFonts w:hint="eastAsia" w:ascii="华文仿宋" w:hAnsi="华文仿宋" w:eastAsia="华文仿宋" w:cs="华文仿宋"/>
          <w:sz w:val="30"/>
          <w:szCs w:val="30"/>
          <w:lang w:eastAsia="zh-CN"/>
        </w:rPr>
        <w:t>宿舍</w:t>
      </w:r>
      <w:r>
        <w:rPr>
          <w:rFonts w:hint="eastAsia" w:ascii="华文仿宋" w:hAnsi="华文仿宋" w:eastAsia="华文仿宋" w:cs="华文仿宋"/>
          <w:sz w:val="30"/>
          <w:szCs w:val="30"/>
        </w:rPr>
        <w:t>钢制家具翻新服务</w:t>
      </w:r>
    </w:p>
    <w:tbl>
      <w:tblPr>
        <w:tblStyle w:val="9"/>
        <w:tblW w:w="10827" w:type="dxa"/>
        <w:jc w:val="center"/>
        <w:tblCellSpacing w:w="15" w:type="dxa"/>
        <w:tblInd w:w="0" w:type="dxa"/>
        <w:tblLayout w:type="fixed"/>
        <w:tblCellMar>
          <w:top w:w="15" w:type="dxa"/>
          <w:left w:w="15" w:type="dxa"/>
          <w:bottom w:w="15" w:type="dxa"/>
          <w:right w:w="15" w:type="dxa"/>
        </w:tblCellMar>
      </w:tblPr>
      <w:tblGrid>
        <w:gridCol w:w="520"/>
        <w:gridCol w:w="1273"/>
        <w:gridCol w:w="2096"/>
        <w:gridCol w:w="3255"/>
        <w:gridCol w:w="2190"/>
        <w:gridCol w:w="780"/>
        <w:gridCol w:w="713"/>
      </w:tblGrid>
      <w:tr>
        <w:tblPrEx>
          <w:tblLayout w:type="fixed"/>
          <w:tblCellMar>
            <w:top w:w="15" w:type="dxa"/>
            <w:left w:w="15" w:type="dxa"/>
            <w:bottom w:w="15" w:type="dxa"/>
            <w:right w:w="15" w:type="dxa"/>
          </w:tblCellMar>
        </w:tblPrEx>
        <w:trPr>
          <w:trHeight w:val="1572" w:hRule="atLeast"/>
          <w:tblCellSpacing w:w="15" w:type="dxa"/>
          <w:jc w:val="center"/>
        </w:trPr>
        <w:tc>
          <w:tcPr>
            <w:tcW w:w="47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rPr>
            </w:pPr>
            <w:r>
              <w:rPr>
                <w:rFonts w:hint="eastAsia" w:ascii="微软雅黑" w:hAnsi="微软雅黑" w:eastAsia="微软雅黑" w:cs="宋体"/>
                <w:b/>
                <w:bCs/>
                <w:kern w:val="0"/>
                <w:sz w:val="24"/>
              </w:rPr>
              <w:t>序号</w:t>
            </w:r>
          </w:p>
        </w:tc>
        <w:tc>
          <w:tcPr>
            <w:tcW w:w="124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rPr>
            </w:pPr>
            <w:r>
              <w:rPr>
                <w:rFonts w:hint="eastAsia" w:ascii="微软雅黑" w:hAnsi="微软雅黑" w:eastAsia="微软雅黑" w:cs="宋体"/>
                <w:b/>
                <w:bCs/>
                <w:kern w:val="0"/>
                <w:sz w:val="24"/>
              </w:rPr>
              <w:t>货物(服务、工程)名称</w:t>
            </w:r>
          </w:p>
        </w:tc>
        <w:tc>
          <w:tcPr>
            <w:tcW w:w="2066"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宋体" w:hAnsi="宋体" w:eastAsia="宋体" w:cs="宋体"/>
                <w:kern w:val="0"/>
                <w:sz w:val="24"/>
                <w:lang w:eastAsia="zh-CN"/>
              </w:rPr>
            </w:pPr>
            <w:r>
              <w:rPr>
                <w:rFonts w:hint="eastAsia" w:ascii="微软雅黑" w:hAnsi="微软雅黑" w:eastAsia="微软雅黑" w:cs="宋体"/>
                <w:b/>
                <w:bCs/>
                <w:kern w:val="0"/>
                <w:sz w:val="24"/>
                <w:lang w:eastAsia="zh-CN"/>
              </w:rPr>
              <w:t>内容</w:t>
            </w:r>
          </w:p>
        </w:tc>
        <w:tc>
          <w:tcPr>
            <w:tcW w:w="322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rPr>
            </w:pPr>
            <w:r>
              <w:rPr>
                <w:rFonts w:hint="eastAsia" w:ascii="微软雅黑" w:hAnsi="微软雅黑" w:eastAsia="微软雅黑" w:cs="宋体"/>
                <w:b/>
                <w:bCs/>
                <w:kern w:val="0"/>
                <w:sz w:val="24"/>
              </w:rPr>
              <w:t>制作要求</w:t>
            </w:r>
          </w:p>
        </w:tc>
        <w:tc>
          <w:tcPr>
            <w:tcW w:w="2160"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rPr>
            </w:pPr>
            <w:r>
              <w:rPr>
                <w:rFonts w:hint="eastAsia" w:ascii="宋体" w:hAnsi="宋体" w:eastAsia="宋体" w:cs="宋体"/>
                <w:b/>
                <w:bCs/>
                <w:kern w:val="0"/>
                <w:sz w:val="24"/>
              </w:rPr>
              <w:t>图样</w:t>
            </w:r>
          </w:p>
        </w:tc>
        <w:tc>
          <w:tcPr>
            <w:tcW w:w="750"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rPr>
            </w:pPr>
            <w:r>
              <w:rPr>
                <w:rFonts w:hint="eastAsia" w:ascii="微软雅黑" w:hAnsi="微软雅黑" w:eastAsia="微软雅黑" w:cs="宋体"/>
                <w:b/>
                <w:bCs/>
                <w:kern w:val="0"/>
                <w:sz w:val="24"/>
              </w:rPr>
              <w:t>数量</w:t>
            </w:r>
          </w:p>
        </w:tc>
        <w:tc>
          <w:tcPr>
            <w:tcW w:w="66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rPr>
            </w:pPr>
            <w:r>
              <w:rPr>
                <w:rFonts w:hint="eastAsia" w:ascii="微软雅黑" w:hAnsi="微软雅黑" w:eastAsia="微软雅黑" w:cs="宋体"/>
                <w:b/>
                <w:bCs/>
                <w:kern w:val="0"/>
                <w:sz w:val="24"/>
              </w:rPr>
              <w:t>备注</w:t>
            </w:r>
          </w:p>
        </w:tc>
      </w:tr>
      <w:tr>
        <w:tblPrEx>
          <w:tblLayout w:type="fixed"/>
          <w:tblCellMar>
            <w:top w:w="15" w:type="dxa"/>
            <w:left w:w="15" w:type="dxa"/>
            <w:bottom w:w="15" w:type="dxa"/>
            <w:right w:w="15" w:type="dxa"/>
          </w:tblCellMar>
        </w:tblPrEx>
        <w:trPr>
          <w:trHeight w:val="7950" w:hRule="atLeast"/>
          <w:tblCellSpacing w:w="15" w:type="dxa"/>
          <w:jc w:val="center"/>
        </w:trPr>
        <w:tc>
          <w:tcPr>
            <w:tcW w:w="47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rPr>
            </w:pPr>
            <w:r>
              <w:rPr>
                <w:rFonts w:hint="eastAsia" w:ascii="微软雅黑" w:hAnsi="微软雅黑" w:eastAsia="微软雅黑" w:cs="宋体"/>
                <w:kern w:val="0"/>
                <w:sz w:val="24"/>
              </w:rPr>
              <w:t>1</w:t>
            </w:r>
          </w:p>
        </w:tc>
        <w:tc>
          <w:tcPr>
            <w:tcW w:w="1243" w:type="dxa"/>
            <w:tcBorders>
              <w:top w:val="single" w:color="auto" w:sz="8" w:space="0"/>
              <w:left w:val="single" w:color="auto" w:sz="8" w:space="0"/>
              <w:bottom w:val="single" w:color="auto" w:sz="4" w:space="0"/>
              <w:right w:val="single" w:color="auto" w:sz="8" w:space="0"/>
            </w:tcBorders>
            <w:vAlign w:val="center"/>
          </w:tcPr>
          <w:p>
            <w:pPr>
              <w:widowControl/>
              <w:jc w:val="center"/>
              <w:rPr>
                <w:rFonts w:asciiTheme="minorEastAsia" w:hAnsiTheme="minorEastAsia" w:cstheme="minorEastAsia"/>
                <w:kern w:val="0"/>
                <w:sz w:val="24"/>
              </w:rPr>
            </w:pPr>
            <w:r>
              <w:rPr>
                <w:rFonts w:hint="eastAsia" w:asciiTheme="minorEastAsia" w:hAnsiTheme="minorEastAsia" w:cstheme="minorEastAsia"/>
                <w:kern w:val="0"/>
                <w:sz w:val="28"/>
                <w:szCs w:val="28"/>
              </w:rPr>
              <w:t>翻新</w:t>
            </w:r>
            <w:r>
              <w:rPr>
                <w:rFonts w:hint="eastAsia"/>
                <w:sz w:val="28"/>
                <w:szCs w:val="28"/>
              </w:rPr>
              <w:t>宿舍的钢制配套设施</w:t>
            </w:r>
          </w:p>
        </w:tc>
        <w:tc>
          <w:tcPr>
            <w:tcW w:w="2066" w:type="dxa"/>
            <w:tcBorders>
              <w:top w:val="single" w:color="auto" w:sz="8" w:space="0"/>
              <w:left w:val="single" w:color="auto" w:sz="8" w:space="0"/>
              <w:bottom w:val="single" w:color="auto" w:sz="4" w:space="0"/>
              <w:right w:val="single" w:color="auto" w:sz="8" w:space="0"/>
            </w:tcBorders>
            <w:vAlign w:val="center"/>
          </w:tcPr>
          <w:p>
            <w:pPr>
              <w:widowControl/>
              <w:jc w:val="center"/>
              <w:rPr>
                <w:rFonts w:asciiTheme="minorEastAsia" w:hAnsiTheme="minorEastAsia" w:cstheme="minorEastAsia"/>
                <w:kern w:val="0"/>
                <w:sz w:val="24"/>
              </w:rPr>
            </w:pPr>
            <w:r>
              <w:rPr>
                <w:rFonts w:hint="eastAsia"/>
                <w:sz w:val="28"/>
                <w:szCs w:val="28"/>
              </w:rPr>
              <w:t>每间宿舍8个床位，</w:t>
            </w:r>
            <w:r>
              <w:rPr>
                <w:rFonts w:hint="eastAsia"/>
                <w:sz w:val="28"/>
                <w:szCs w:val="28"/>
                <w:lang w:eastAsia="zh-CN"/>
              </w:rPr>
              <w:t>所有钢制部分</w:t>
            </w:r>
            <w:r>
              <w:rPr>
                <w:rFonts w:hint="eastAsia"/>
                <w:sz w:val="28"/>
                <w:szCs w:val="28"/>
              </w:rPr>
              <w:t>包括床架、铁皮柜、置物架、电脑椅等配套设施</w:t>
            </w:r>
          </w:p>
        </w:tc>
        <w:tc>
          <w:tcPr>
            <w:tcW w:w="3225" w:type="dxa"/>
            <w:tcBorders>
              <w:top w:val="single" w:color="auto" w:sz="8" w:space="0"/>
              <w:left w:val="single" w:color="auto" w:sz="8" w:space="0"/>
              <w:bottom w:val="single" w:color="auto" w:sz="4" w:space="0"/>
              <w:right w:val="single" w:color="auto" w:sz="8" w:space="0"/>
            </w:tcBorders>
            <w:vAlign w:val="center"/>
          </w:tcPr>
          <w:p>
            <w:pPr>
              <w:ind w:firstLine="560"/>
              <w:rPr>
                <w:rFonts w:asciiTheme="minorEastAsia" w:hAnsiTheme="minorEastAsia" w:cstheme="minorEastAsia"/>
                <w:sz w:val="24"/>
              </w:rPr>
            </w:pPr>
            <w:r>
              <w:rPr>
                <w:rFonts w:hint="eastAsia" w:asciiTheme="minorEastAsia" w:hAnsiTheme="minorEastAsia" w:cstheme="minorEastAsia"/>
                <w:sz w:val="24"/>
              </w:rPr>
              <w:t>维修翻新工艺包括整体拆装、打磨、除锈、喷漆、安装。喷漆表面处理：表面经酸洗、磷化、除锈等工序处理。</w:t>
            </w:r>
            <w:r>
              <w:rPr>
                <w:rFonts w:hint="eastAsia" w:asciiTheme="minorEastAsia" w:hAnsiTheme="minorEastAsia" w:cstheme="minorEastAsia"/>
                <w:color w:val="000000"/>
                <w:sz w:val="24"/>
                <w:shd w:val="clear" w:color="auto" w:fill="FFFFFF"/>
              </w:rPr>
              <w:t>喷漆颜色与现用</w:t>
            </w:r>
            <w:r>
              <w:rPr>
                <w:rFonts w:hint="eastAsia"/>
                <w:sz w:val="24"/>
              </w:rPr>
              <w:t>床架、铁皮柜、置物架、电脑椅等配套设施</w:t>
            </w:r>
            <w:r>
              <w:rPr>
                <w:rFonts w:hint="eastAsia" w:asciiTheme="minorEastAsia" w:hAnsiTheme="minorEastAsia" w:cstheme="minorEastAsia"/>
                <w:color w:val="000000"/>
                <w:sz w:val="24"/>
                <w:shd w:val="clear" w:color="auto" w:fill="FFFFFF"/>
              </w:rPr>
              <w:t>颜色一致。</w:t>
            </w:r>
            <w:r>
              <w:rPr>
                <w:rFonts w:hint="eastAsia" w:asciiTheme="minorEastAsia" w:hAnsiTheme="minorEastAsia" w:cstheme="minorEastAsia"/>
                <w:sz w:val="24"/>
              </w:rPr>
              <w:t xml:space="preserve">喷漆采用环保型优质粉末，采用先进的静电喷涂工艺，表面光亮平整，无颗粒、气泡、渣点，颜色均匀，硬度高、能长久保持漆面效果。    </w:t>
            </w:r>
          </w:p>
          <w:p>
            <w:pPr>
              <w:widowControl/>
              <w:ind w:firstLine="560"/>
              <w:rPr>
                <w:rFonts w:asciiTheme="minorEastAsia" w:hAnsiTheme="minorEastAsia" w:cstheme="minorEastAsia"/>
                <w:kern w:val="0"/>
                <w:sz w:val="24"/>
              </w:rPr>
            </w:pPr>
          </w:p>
        </w:tc>
        <w:tc>
          <w:tcPr>
            <w:tcW w:w="2160" w:type="dxa"/>
            <w:tcBorders>
              <w:top w:val="single" w:color="auto" w:sz="8" w:space="0"/>
              <w:left w:val="single" w:color="auto" w:sz="8" w:space="0"/>
              <w:bottom w:val="single" w:color="auto" w:sz="4" w:space="0"/>
              <w:right w:val="single" w:color="auto" w:sz="8" w:space="0"/>
            </w:tcBorders>
            <w:vAlign w:val="center"/>
          </w:tcPr>
          <w:p>
            <w:pPr>
              <w:widowControl/>
              <w:jc w:val="center"/>
              <w:rPr>
                <w:rFonts w:asciiTheme="minorEastAsia" w:hAnsiTheme="minorEastAsia" w:cstheme="minorEastAsia"/>
                <w:kern w:val="0"/>
                <w:sz w:val="24"/>
              </w:rPr>
            </w:pPr>
            <w:r>
              <w:rPr>
                <w:rFonts w:hint="eastAsia"/>
              </w:rPr>
              <w:drawing>
                <wp:inline distT="0" distB="0" distL="114300" distR="114300">
                  <wp:extent cx="1275080" cy="765175"/>
                  <wp:effectExtent l="0" t="0" r="1270" b="15875"/>
                  <wp:docPr id="7" name="图片 7" descr="$JAKO8`UZ7(X7%{JU)6_X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JAKO8`UZ7(X7%{JU)6_XA3"/>
                          <pic:cNvPicPr>
                            <a:picLocks noChangeAspect="1"/>
                          </pic:cNvPicPr>
                        </pic:nvPicPr>
                        <pic:blipFill>
                          <a:blip r:embed="rId4"/>
                          <a:stretch>
                            <a:fillRect/>
                          </a:stretch>
                        </pic:blipFill>
                        <pic:spPr>
                          <a:xfrm>
                            <a:off x="0" y="0"/>
                            <a:ext cx="1275080" cy="765175"/>
                          </a:xfrm>
                          <a:prstGeom prst="rect">
                            <a:avLst/>
                          </a:prstGeom>
                        </pic:spPr>
                      </pic:pic>
                    </a:graphicData>
                  </a:graphic>
                </wp:inline>
              </w:drawing>
            </w:r>
            <w:r>
              <w:rPr>
                <w:rFonts w:hint="eastAsia"/>
              </w:rPr>
              <w:drawing>
                <wp:inline distT="0" distB="0" distL="114300" distR="114300">
                  <wp:extent cx="1253490" cy="742950"/>
                  <wp:effectExtent l="0" t="0" r="3810" b="0"/>
                  <wp:docPr id="8" name="图片 8" descr="1S~1Q$~U3X9L11N`~@KY1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S~1Q$~U3X9L11N`~@KY1LA"/>
                          <pic:cNvPicPr>
                            <a:picLocks noChangeAspect="1"/>
                          </pic:cNvPicPr>
                        </pic:nvPicPr>
                        <pic:blipFill>
                          <a:blip r:embed="rId5"/>
                          <a:stretch>
                            <a:fillRect/>
                          </a:stretch>
                        </pic:blipFill>
                        <pic:spPr>
                          <a:xfrm>
                            <a:off x="0" y="0"/>
                            <a:ext cx="1253490" cy="742950"/>
                          </a:xfrm>
                          <a:prstGeom prst="rect">
                            <a:avLst/>
                          </a:prstGeom>
                        </pic:spPr>
                      </pic:pic>
                    </a:graphicData>
                  </a:graphic>
                </wp:inline>
              </w:drawing>
            </w:r>
            <w:r>
              <w:rPr>
                <w:rFonts w:hint="eastAsia"/>
              </w:rPr>
              <w:drawing>
                <wp:inline distT="0" distB="0" distL="114300" distR="114300">
                  <wp:extent cx="909955" cy="1303020"/>
                  <wp:effectExtent l="0" t="0" r="4445" b="11430"/>
                  <wp:docPr id="3" name="图片 3" descr="M6UO3P)_UM~85{2VC[}6Z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M6UO3P)_UM~85{2VC[}6ZDC"/>
                          <pic:cNvPicPr>
                            <a:picLocks noChangeAspect="1"/>
                          </pic:cNvPicPr>
                        </pic:nvPicPr>
                        <pic:blipFill>
                          <a:blip r:embed="rId6"/>
                          <a:stretch>
                            <a:fillRect/>
                          </a:stretch>
                        </pic:blipFill>
                        <pic:spPr>
                          <a:xfrm>
                            <a:off x="0" y="0"/>
                            <a:ext cx="909955" cy="1303020"/>
                          </a:xfrm>
                          <a:prstGeom prst="rect">
                            <a:avLst/>
                          </a:prstGeom>
                        </pic:spPr>
                      </pic:pic>
                    </a:graphicData>
                  </a:graphic>
                </wp:inline>
              </w:drawing>
            </w:r>
          </w:p>
        </w:tc>
        <w:tc>
          <w:tcPr>
            <w:tcW w:w="750" w:type="dxa"/>
            <w:tcBorders>
              <w:top w:val="single" w:color="auto" w:sz="8" w:space="0"/>
              <w:left w:val="single" w:color="auto" w:sz="8" w:space="0"/>
              <w:bottom w:val="single" w:color="auto" w:sz="4" w:space="0"/>
              <w:right w:val="single" w:color="auto" w:sz="8" w:space="0"/>
            </w:tcBorders>
            <w:vAlign w:val="center"/>
          </w:tcPr>
          <w:p>
            <w:pPr>
              <w:widowControl/>
              <w:jc w:val="center"/>
              <w:rPr>
                <w:rFonts w:asciiTheme="minorEastAsia" w:hAnsiTheme="minorEastAsia" w:cstheme="minorEastAsia"/>
                <w:kern w:val="0"/>
                <w:sz w:val="24"/>
              </w:rPr>
            </w:pPr>
            <w:r>
              <w:rPr>
                <w:rFonts w:hint="eastAsia"/>
                <w:sz w:val="28"/>
                <w:szCs w:val="28"/>
              </w:rPr>
              <w:t>150间宿舍的</w:t>
            </w:r>
            <w:r>
              <w:rPr>
                <w:rFonts w:hint="eastAsia"/>
                <w:sz w:val="28"/>
                <w:szCs w:val="28"/>
                <w:lang w:eastAsia="zh-CN"/>
              </w:rPr>
              <w:t>钢制</w:t>
            </w:r>
            <w:r>
              <w:rPr>
                <w:rFonts w:hint="eastAsia"/>
                <w:sz w:val="28"/>
                <w:szCs w:val="28"/>
              </w:rPr>
              <w:t>配套设施</w:t>
            </w:r>
          </w:p>
        </w:tc>
        <w:tc>
          <w:tcPr>
            <w:tcW w:w="668" w:type="dxa"/>
            <w:tcBorders>
              <w:top w:val="single" w:color="auto" w:sz="8" w:space="0"/>
              <w:left w:val="single" w:color="auto" w:sz="8" w:space="0"/>
              <w:bottom w:val="single" w:color="auto" w:sz="4" w:space="0"/>
              <w:right w:val="single" w:color="auto" w:sz="8"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每间宿舍预算金额800元</w:t>
            </w:r>
          </w:p>
        </w:tc>
      </w:tr>
      <w:tr>
        <w:tblPrEx>
          <w:tblLayout w:type="fixed"/>
          <w:tblCellMar>
            <w:top w:w="15" w:type="dxa"/>
            <w:left w:w="15" w:type="dxa"/>
            <w:bottom w:w="15" w:type="dxa"/>
            <w:right w:w="15" w:type="dxa"/>
          </w:tblCellMar>
        </w:tblPrEx>
        <w:trPr>
          <w:trHeight w:val="2868" w:hRule="atLeast"/>
          <w:tblCellSpacing w:w="15" w:type="dxa"/>
          <w:jc w:val="center"/>
        </w:trPr>
        <w:tc>
          <w:tcPr>
            <w:tcW w:w="10767" w:type="dxa"/>
            <w:gridSpan w:val="7"/>
            <w:tcBorders>
              <w:top w:val="single" w:color="auto" w:sz="8" w:space="0"/>
              <w:left w:val="single" w:color="auto" w:sz="8" w:space="0"/>
              <w:bottom w:val="single" w:color="auto" w:sz="8" w:space="0"/>
              <w:right w:val="single" w:color="auto" w:sz="8" w:space="0"/>
            </w:tcBorders>
            <w:vAlign w:val="center"/>
          </w:tcPr>
          <w:p>
            <w:pPr>
              <w:widowControl/>
              <w:jc w:val="left"/>
            </w:pPr>
            <w:r>
              <w:rPr>
                <w:rFonts w:hint="eastAsia" w:ascii="宋体" w:hAnsi="宋体" w:eastAsia="宋体" w:cs="宋体"/>
                <w:kern w:val="0"/>
                <w:sz w:val="24"/>
              </w:rPr>
              <w:t>翻新效果图：</w:t>
            </w:r>
          </w:p>
          <w:p>
            <w:pPr>
              <w:widowControl/>
              <w:jc w:val="left"/>
            </w:pPr>
            <w:r>
              <w:rPr>
                <w:rFonts w:hint="eastAsia" w:ascii="宋体" w:hAnsi="宋体" w:eastAsia="宋体" w:cs="宋体"/>
                <w:kern w:val="0"/>
                <w:sz w:val="24"/>
              </w:rPr>
              <w:drawing>
                <wp:inline distT="0" distB="0" distL="114300" distR="114300">
                  <wp:extent cx="2642235" cy="2952115"/>
                  <wp:effectExtent l="0" t="0" r="5715" b="635"/>
                  <wp:docPr id="1" name="图片 1" descr="NP6APYZGN]LMSD~~EI9@9$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NP6APYZGN]LMSD~~EI9@9$M"/>
                          <pic:cNvPicPr>
                            <a:picLocks noChangeAspect="1"/>
                          </pic:cNvPicPr>
                        </pic:nvPicPr>
                        <pic:blipFill>
                          <a:blip r:embed="rId7"/>
                          <a:stretch>
                            <a:fillRect/>
                          </a:stretch>
                        </pic:blipFill>
                        <pic:spPr>
                          <a:xfrm>
                            <a:off x="0" y="0"/>
                            <a:ext cx="2642235" cy="2952115"/>
                          </a:xfrm>
                          <a:prstGeom prst="rect">
                            <a:avLst/>
                          </a:prstGeom>
                        </pic:spPr>
                      </pic:pic>
                    </a:graphicData>
                  </a:graphic>
                </wp:inline>
              </w:drawing>
            </w:r>
          </w:p>
          <w:p>
            <w:pPr>
              <w:widowControl/>
              <w:jc w:val="left"/>
              <w:rPr>
                <w:rFonts w:ascii="宋体" w:hAnsi="宋体" w:eastAsia="宋体" w:cs="宋体"/>
                <w:kern w:val="0"/>
                <w:sz w:val="24"/>
              </w:rPr>
            </w:pPr>
          </w:p>
        </w:tc>
      </w:tr>
    </w:tbl>
    <w:p>
      <w:pPr>
        <w:widowControl/>
        <w:spacing w:line="360" w:lineRule="auto"/>
        <w:jc w:val="left"/>
        <w:rPr>
          <w:rFonts w:ascii="宋体" w:hAnsi="宋体" w:eastAsia="宋体" w:cs="宋体"/>
          <w:kern w:val="0"/>
          <w:sz w:val="24"/>
        </w:rPr>
      </w:pPr>
    </w:p>
    <w:p>
      <w:pPr>
        <w:widowControl/>
        <w:spacing w:line="360" w:lineRule="auto"/>
        <w:ind w:firstLine="300" w:firstLineChars="100"/>
        <w:jc w:val="left"/>
        <w:rPr>
          <w:rFonts w:ascii="华文仿宋" w:hAnsi="华文仿宋" w:eastAsia="华文仿宋" w:cs="微软雅黑"/>
          <w:sz w:val="30"/>
          <w:szCs w:val="30"/>
        </w:rPr>
      </w:pPr>
      <w:r>
        <w:rPr>
          <w:rFonts w:hint="eastAsia" w:ascii="华文仿宋" w:hAnsi="华文仿宋" w:eastAsia="华文仿宋" w:cs="微软雅黑"/>
          <w:sz w:val="30"/>
          <w:szCs w:val="30"/>
        </w:rPr>
        <w:t>2、制作及交货期限：中标人签订合同后，20个工作日内完成所有制作和安装工作，并交付使用。（具体日期以合同约定为准）。</w:t>
      </w:r>
    </w:p>
    <w:p>
      <w:pPr>
        <w:widowControl/>
        <w:spacing w:line="360" w:lineRule="auto"/>
        <w:ind w:firstLine="300" w:firstLineChars="100"/>
        <w:jc w:val="left"/>
        <w:rPr>
          <w:rFonts w:ascii="华文仿宋" w:hAnsi="华文仿宋" w:eastAsia="华文仿宋" w:cs="微软雅黑"/>
          <w:sz w:val="30"/>
          <w:szCs w:val="30"/>
        </w:rPr>
      </w:pPr>
      <w:r>
        <w:rPr>
          <w:rFonts w:hint="eastAsia" w:ascii="华文仿宋" w:hAnsi="华文仿宋" w:eastAsia="华文仿宋" w:cs="微软雅黑"/>
          <w:sz w:val="30"/>
          <w:szCs w:val="30"/>
        </w:rPr>
        <w:t>3、投标方可到学院现场勘察。</w:t>
      </w:r>
    </w:p>
    <w:p>
      <w:pPr>
        <w:widowControl/>
        <w:spacing w:line="360" w:lineRule="auto"/>
        <w:ind w:firstLine="300" w:firstLineChars="100"/>
        <w:jc w:val="left"/>
        <w:rPr>
          <w:rFonts w:ascii="华文仿宋" w:hAnsi="华文仿宋" w:eastAsia="华文仿宋" w:cs="微软雅黑"/>
          <w:sz w:val="30"/>
          <w:szCs w:val="30"/>
        </w:rPr>
      </w:pPr>
      <w:r>
        <w:rPr>
          <w:rFonts w:hint="eastAsia" w:ascii="华文仿宋" w:hAnsi="华文仿宋" w:eastAsia="华文仿宋" w:cs="微软雅黑"/>
          <w:sz w:val="30"/>
          <w:szCs w:val="30"/>
        </w:rPr>
        <w:t>4、中标人需严格按照学院要求进行制作。</w:t>
      </w:r>
    </w:p>
    <w:p>
      <w:pPr>
        <w:ind w:firstLine="300" w:firstLineChars="100"/>
      </w:pPr>
      <w:r>
        <w:rPr>
          <w:rFonts w:hint="eastAsia" w:ascii="华文仿宋" w:hAnsi="华文仿宋" w:eastAsia="华文仿宋" w:cs="微软雅黑"/>
          <w:sz w:val="30"/>
          <w:szCs w:val="30"/>
        </w:rPr>
        <w:t>5、付款方式：本项目无预付款，全部货物送完安装验收合格，提供正式发票后，以转账方式一次性付清全部货款。</w:t>
      </w:r>
    </w:p>
    <w:p>
      <w:pPr>
        <w:pStyle w:val="13"/>
        <w:spacing w:line="500" w:lineRule="exact"/>
        <w:ind w:firstLine="0" w:firstLineChars="0"/>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lang w:eastAsia="zh-CN"/>
        </w:rPr>
        <w:t>三</w:t>
      </w:r>
      <w:r>
        <w:rPr>
          <w:rFonts w:hint="eastAsia" w:ascii="宋体" w:hAnsi="宋体" w:eastAsia="宋体" w:cs="宋体"/>
          <w:b/>
          <w:bCs/>
          <w:color w:val="000000"/>
          <w:kern w:val="0"/>
          <w:sz w:val="28"/>
          <w:szCs w:val="28"/>
        </w:rPr>
        <w:t>、投标单位要求</w:t>
      </w:r>
    </w:p>
    <w:p>
      <w:pPr>
        <w:pStyle w:val="13"/>
        <w:spacing w:line="500" w:lineRule="exact"/>
        <w:ind w:left="0" w:leftChars="0" w:firstLine="300" w:firstLineChars="100"/>
        <w:rPr>
          <w:rFonts w:ascii="华文仿宋" w:hAnsi="华文仿宋" w:eastAsia="华文仿宋" w:cs="华文仿宋"/>
          <w:sz w:val="30"/>
          <w:szCs w:val="30"/>
        </w:rPr>
      </w:pPr>
      <w:r>
        <w:rPr>
          <w:rFonts w:hint="eastAsia" w:ascii="华文仿宋" w:hAnsi="华文仿宋" w:eastAsia="华文仿宋" w:cs="华文仿宋"/>
          <w:sz w:val="30"/>
          <w:szCs w:val="30"/>
        </w:rPr>
        <w:t>1、符合《中华人民共和国政府采购法》第二十二条规定</w:t>
      </w:r>
    </w:p>
    <w:p>
      <w:pPr>
        <w:pStyle w:val="13"/>
        <w:spacing w:line="500" w:lineRule="exact"/>
        <w:ind w:left="0" w:leftChars="0" w:firstLine="300" w:firstLineChars="100"/>
        <w:rPr>
          <w:rFonts w:ascii="华文仿宋" w:hAnsi="华文仿宋" w:eastAsia="华文仿宋" w:cs="华文仿宋"/>
          <w:sz w:val="30"/>
          <w:szCs w:val="30"/>
        </w:rPr>
      </w:pPr>
      <w:r>
        <w:rPr>
          <w:rFonts w:hint="eastAsia" w:ascii="华文仿宋" w:hAnsi="华文仿宋" w:eastAsia="华文仿宋" w:cs="华文仿宋"/>
          <w:sz w:val="30"/>
          <w:szCs w:val="30"/>
        </w:rPr>
        <w:t>2、须在工商行政管理部门和税务部门登记注册。</w:t>
      </w:r>
    </w:p>
    <w:p>
      <w:pPr>
        <w:pStyle w:val="13"/>
        <w:spacing w:line="500" w:lineRule="exact"/>
        <w:ind w:left="0" w:leftChars="0" w:firstLine="300" w:firstLineChars="100"/>
        <w:rPr>
          <w:rFonts w:ascii="华文仿宋" w:hAnsi="华文仿宋" w:eastAsia="华文仿宋" w:cs="华文仿宋"/>
          <w:sz w:val="30"/>
          <w:szCs w:val="30"/>
        </w:rPr>
      </w:pPr>
      <w:r>
        <w:rPr>
          <w:rFonts w:hint="eastAsia" w:ascii="华文仿宋" w:hAnsi="华文仿宋" w:eastAsia="华文仿宋" w:cs="华文仿宋"/>
          <w:sz w:val="30"/>
          <w:szCs w:val="30"/>
        </w:rPr>
        <w:t>3、营业执照须有招标项目的经营许可范围。</w:t>
      </w:r>
    </w:p>
    <w:p>
      <w:pPr>
        <w:pStyle w:val="13"/>
        <w:spacing w:line="500" w:lineRule="exact"/>
        <w:ind w:left="0" w:leftChars="0" w:firstLine="300" w:firstLineChars="100"/>
        <w:rPr>
          <w:rFonts w:hint="eastAsia" w:ascii="华文仿宋" w:hAnsi="华文仿宋" w:eastAsia="华文仿宋" w:cs="华文仿宋"/>
          <w:sz w:val="30"/>
          <w:szCs w:val="30"/>
        </w:rPr>
      </w:pPr>
      <w:r>
        <w:rPr>
          <w:rFonts w:hint="eastAsia" w:ascii="华文仿宋" w:hAnsi="华文仿宋" w:eastAsia="华文仿宋" w:cs="华文仿宋"/>
          <w:sz w:val="30"/>
          <w:szCs w:val="30"/>
        </w:rPr>
        <w:t>4、本次询价不接受联合体报价。</w:t>
      </w:r>
    </w:p>
    <w:p>
      <w:pPr>
        <w:pStyle w:val="13"/>
        <w:spacing w:line="500" w:lineRule="exact"/>
        <w:ind w:firstLine="0" w:firstLineChars="0"/>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lang w:eastAsia="zh-CN"/>
        </w:rPr>
        <w:t>四</w:t>
      </w:r>
      <w:r>
        <w:rPr>
          <w:rFonts w:hint="eastAsia" w:ascii="宋体" w:hAnsi="宋体" w:eastAsia="宋体" w:cs="宋体"/>
          <w:b/>
          <w:bCs/>
          <w:color w:val="000000"/>
          <w:kern w:val="0"/>
          <w:sz w:val="28"/>
          <w:szCs w:val="28"/>
        </w:rPr>
        <w:t>、报价要求</w:t>
      </w:r>
    </w:p>
    <w:p>
      <w:pPr>
        <w:pStyle w:val="13"/>
        <w:numPr>
          <w:ilvl w:val="1"/>
          <w:numId w:val="2"/>
        </w:numPr>
        <w:spacing w:line="500" w:lineRule="exact"/>
        <w:ind w:firstLineChars="0"/>
        <w:rPr>
          <w:rFonts w:ascii="华文仿宋" w:hAnsi="华文仿宋" w:eastAsia="华文仿宋" w:cs="华文仿宋"/>
          <w:sz w:val="30"/>
          <w:szCs w:val="30"/>
        </w:rPr>
      </w:pPr>
      <w:r>
        <w:rPr>
          <w:rFonts w:hint="eastAsia" w:ascii="华文仿宋" w:hAnsi="华文仿宋" w:eastAsia="华文仿宋" w:cs="华文仿宋"/>
          <w:sz w:val="30"/>
          <w:szCs w:val="30"/>
        </w:rPr>
        <w:t>投标报价应包括开票税金、</w:t>
      </w:r>
      <w:r>
        <w:rPr>
          <w:rFonts w:hint="eastAsia" w:ascii="华文仿宋" w:hAnsi="华文仿宋" w:eastAsia="华文仿宋" w:cs="华文仿宋"/>
          <w:sz w:val="30"/>
          <w:szCs w:val="30"/>
          <w:lang w:eastAsia="zh-CN"/>
        </w:rPr>
        <w:t>翻新</w:t>
      </w:r>
      <w:r>
        <w:rPr>
          <w:rFonts w:hint="eastAsia" w:ascii="华文仿宋" w:hAnsi="华文仿宋" w:eastAsia="华文仿宋" w:cs="华文仿宋"/>
          <w:sz w:val="30"/>
          <w:szCs w:val="30"/>
        </w:rPr>
        <w:t>、安装、调试等费用。</w:t>
      </w:r>
    </w:p>
    <w:p>
      <w:pPr>
        <w:pStyle w:val="13"/>
        <w:numPr>
          <w:ilvl w:val="1"/>
          <w:numId w:val="2"/>
        </w:numPr>
        <w:spacing w:line="500" w:lineRule="exact"/>
        <w:ind w:firstLineChars="0"/>
        <w:rPr>
          <w:rFonts w:ascii="华文仿宋" w:hAnsi="华文仿宋" w:eastAsia="华文仿宋" w:cs="华文仿宋"/>
          <w:sz w:val="30"/>
          <w:szCs w:val="30"/>
        </w:rPr>
      </w:pPr>
      <w:r>
        <w:rPr>
          <w:rFonts w:hint="eastAsia" w:ascii="华文仿宋" w:hAnsi="华文仿宋" w:eastAsia="华文仿宋" w:cs="华文仿宋"/>
          <w:sz w:val="30"/>
          <w:szCs w:val="30"/>
        </w:rPr>
        <w:t>投标方报价应考虑现场环境以及市场变化等各种因素，合同一旦确定，不再另赠任何费用。</w:t>
      </w:r>
    </w:p>
    <w:p>
      <w:pPr>
        <w:pStyle w:val="13"/>
        <w:spacing w:line="500" w:lineRule="exact"/>
        <w:ind w:firstLine="0" w:firstLineChars="0"/>
        <w:rPr>
          <w:rFonts w:ascii="华文仿宋" w:hAnsi="华文仿宋" w:eastAsia="华文仿宋" w:cs="华文仿宋"/>
          <w:sz w:val="30"/>
          <w:szCs w:val="30"/>
        </w:rPr>
      </w:pPr>
      <w:r>
        <w:rPr>
          <w:rFonts w:hint="eastAsia" w:ascii="宋体" w:hAnsi="宋体" w:eastAsia="宋体" w:cs="宋体"/>
          <w:b/>
          <w:bCs/>
          <w:color w:val="000000"/>
          <w:kern w:val="0"/>
          <w:sz w:val="28"/>
          <w:szCs w:val="28"/>
          <w:lang w:eastAsia="zh-CN"/>
        </w:rPr>
        <w:t>五</w:t>
      </w:r>
      <w:r>
        <w:rPr>
          <w:rFonts w:hint="eastAsia" w:ascii="宋体" w:hAnsi="宋体" w:eastAsia="宋体" w:cs="宋体"/>
          <w:b/>
          <w:bCs/>
          <w:color w:val="000000"/>
          <w:kern w:val="0"/>
          <w:sz w:val="28"/>
          <w:szCs w:val="28"/>
        </w:rPr>
        <w:t>、投标文件递交</w:t>
      </w:r>
      <w:r>
        <w:rPr>
          <w:rFonts w:hint="eastAsia" w:ascii="华文仿宋" w:hAnsi="华文仿宋" w:eastAsia="华文仿宋" w:cs="华文仿宋"/>
          <w:sz w:val="30"/>
          <w:szCs w:val="30"/>
        </w:rPr>
        <w:t>（以下文件需盖公章并密封）</w:t>
      </w:r>
    </w:p>
    <w:p>
      <w:pPr>
        <w:spacing w:line="500" w:lineRule="exact"/>
        <w:ind w:firstLine="300" w:firstLineChars="100"/>
        <w:rPr>
          <w:rFonts w:ascii="华文仿宋" w:hAnsi="华文仿宋" w:eastAsia="华文仿宋" w:cs="华文仿宋"/>
          <w:sz w:val="30"/>
          <w:szCs w:val="30"/>
        </w:rPr>
      </w:pPr>
      <w:r>
        <w:rPr>
          <w:rFonts w:hint="eastAsia" w:ascii="华文仿宋" w:hAnsi="华文仿宋" w:eastAsia="华文仿宋" w:cs="华文仿宋"/>
          <w:sz w:val="30"/>
          <w:szCs w:val="30"/>
        </w:rPr>
        <w:t>1、投标报价明细表</w:t>
      </w:r>
    </w:p>
    <w:p>
      <w:pPr>
        <w:spacing w:line="500" w:lineRule="exact"/>
        <w:ind w:firstLine="300" w:firstLineChars="100"/>
        <w:rPr>
          <w:rFonts w:ascii="华文仿宋" w:hAnsi="华文仿宋" w:eastAsia="华文仿宋" w:cs="华文仿宋"/>
          <w:sz w:val="30"/>
          <w:szCs w:val="30"/>
        </w:rPr>
      </w:pPr>
      <w:r>
        <w:rPr>
          <w:rFonts w:hint="eastAsia" w:ascii="华文仿宋" w:hAnsi="华文仿宋" w:eastAsia="华文仿宋" w:cs="华文仿宋"/>
          <w:sz w:val="30"/>
          <w:szCs w:val="30"/>
        </w:rPr>
        <w:t>2、有效营业执照副本复印件、有效资质证书副本复印件</w:t>
      </w:r>
      <w:bookmarkStart w:id="0" w:name="_Toc18274"/>
      <w:bookmarkStart w:id="1" w:name="_Toc29942"/>
    </w:p>
    <w:p>
      <w:pPr>
        <w:spacing w:line="500" w:lineRule="exact"/>
        <w:ind w:firstLine="300" w:firstLineChars="100"/>
        <w:rPr>
          <w:rFonts w:ascii="华文仿宋" w:hAnsi="华文仿宋" w:eastAsia="华文仿宋" w:cs="华文仿宋"/>
          <w:sz w:val="30"/>
          <w:szCs w:val="30"/>
        </w:rPr>
      </w:pPr>
      <w:r>
        <w:rPr>
          <w:rFonts w:hint="eastAsia" w:ascii="华文仿宋" w:hAnsi="华文仿宋" w:eastAsia="华文仿宋" w:cs="华文仿宋"/>
          <w:sz w:val="30"/>
          <w:szCs w:val="30"/>
        </w:rPr>
        <w:t>3法定代表人授权书原件和委托代理人身份证复印件及法定代表人身份证明和法定代表人身份证复印件</w:t>
      </w:r>
      <w:bookmarkEnd w:id="0"/>
      <w:bookmarkEnd w:id="1"/>
    </w:p>
    <w:p>
      <w:pPr>
        <w:spacing w:line="500" w:lineRule="exact"/>
        <w:ind w:firstLine="300" w:firstLineChars="100"/>
        <w:rPr>
          <w:rFonts w:ascii="华文仿宋" w:hAnsi="华文仿宋" w:eastAsia="华文仿宋" w:cs="华文仿宋"/>
          <w:sz w:val="30"/>
          <w:szCs w:val="30"/>
        </w:rPr>
      </w:pPr>
      <w:r>
        <w:rPr>
          <w:rFonts w:hint="eastAsia" w:ascii="华文仿宋" w:hAnsi="华文仿宋" w:eastAsia="华文仿宋" w:cs="华文仿宋"/>
          <w:sz w:val="30"/>
          <w:szCs w:val="30"/>
        </w:rPr>
        <w:t>4、法定代表人授权委托书</w:t>
      </w:r>
    </w:p>
    <w:p>
      <w:pPr>
        <w:spacing w:line="500" w:lineRule="exact"/>
        <w:ind w:firstLine="300" w:firstLineChars="100"/>
        <w:rPr>
          <w:rFonts w:ascii="华文仿宋" w:hAnsi="华文仿宋" w:eastAsia="华文仿宋" w:cs="华文仿宋"/>
          <w:sz w:val="30"/>
          <w:szCs w:val="30"/>
        </w:rPr>
      </w:pPr>
      <w:r>
        <w:rPr>
          <w:rFonts w:hint="eastAsia" w:ascii="华文仿宋" w:hAnsi="华文仿宋" w:eastAsia="华文仿宋" w:cs="华文仿宋"/>
          <w:sz w:val="30"/>
          <w:szCs w:val="30"/>
        </w:rPr>
        <w:t>5、公司业绩</w:t>
      </w:r>
      <w:r>
        <w:rPr>
          <w:rFonts w:ascii="华文仿宋" w:hAnsi="华文仿宋" w:eastAsia="华文仿宋" w:cs="华文仿宋"/>
          <w:sz w:val="30"/>
          <w:szCs w:val="30"/>
        </w:rPr>
        <w:t xml:space="preserve"> </w:t>
      </w:r>
    </w:p>
    <w:p>
      <w:pPr>
        <w:spacing w:line="500" w:lineRule="exac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lang w:eastAsia="zh-CN"/>
        </w:rPr>
        <w:t>六</w:t>
      </w:r>
      <w:r>
        <w:rPr>
          <w:rFonts w:hint="eastAsia" w:ascii="宋体" w:hAnsi="宋体" w:eastAsia="宋体" w:cs="宋体"/>
          <w:b/>
          <w:bCs/>
          <w:color w:val="000000"/>
          <w:kern w:val="0"/>
          <w:sz w:val="28"/>
          <w:szCs w:val="28"/>
        </w:rPr>
        <w:t>、询价采购文件的获取</w:t>
      </w:r>
    </w:p>
    <w:p>
      <w:pPr>
        <w:spacing w:line="500" w:lineRule="exact"/>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发售时间：本次采购无出售标书，凡有意参加投标者,请于 2018年7月10日 至 2018年7月12日递交询价文件。</w:t>
      </w:r>
      <w:r>
        <w:rPr>
          <w:rFonts w:ascii="华文仿宋" w:hAnsi="华文仿宋" w:eastAsia="华文仿宋" w:cs="华文仿宋"/>
          <w:sz w:val="30"/>
          <w:szCs w:val="30"/>
        </w:rPr>
        <w:t xml:space="preserve"> </w:t>
      </w:r>
    </w:p>
    <w:p>
      <w:pPr>
        <w:spacing w:line="500" w:lineRule="exac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lang w:eastAsia="zh-CN"/>
        </w:rPr>
        <w:t>七</w:t>
      </w:r>
      <w:r>
        <w:rPr>
          <w:rFonts w:hint="eastAsia" w:ascii="宋体" w:hAnsi="宋体" w:eastAsia="宋体" w:cs="宋体"/>
          <w:b/>
          <w:bCs/>
          <w:color w:val="000000"/>
          <w:kern w:val="0"/>
          <w:sz w:val="28"/>
          <w:szCs w:val="28"/>
        </w:rPr>
        <w:t>、询价采购文件的递交截止时间</w:t>
      </w:r>
    </w:p>
    <w:p>
      <w:pPr>
        <w:spacing w:line="500" w:lineRule="exact"/>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文件递交的截止时间 ( 投标截止时间,下同 ) 为 2018年7月12日16时00分为止。</w:t>
      </w:r>
    </w:p>
    <w:p>
      <w:pPr>
        <w:spacing w:line="500" w:lineRule="exac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lang w:eastAsia="zh-CN"/>
        </w:rPr>
        <w:t>八</w:t>
      </w:r>
      <w:r>
        <w:rPr>
          <w:rFonts w:hint="eastAsia" w:ascii="宋体" w:hAnsi="宋体" w:eastAsia="宋体" w:cs="宋体"/>
          <w:b/>
          <w:bCs/>
          <w:color w:val="000000"/>
          <w:kern w:val="0"/>
          <w:sz w:val="28"/>
          <w:szCs w:val="28"/>
        </w:rPr>
        <w:t>、投标地址</w:t>
      </w:r>
    </w:p>
    <w:p>
      <w:pPr>
        <w:spacing w:line="500" w:lineRule="exact"/>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竞标人必须在投标截止时间前将投标文件送达广西交通职业技术学院四塘校区物流管理楼设备处（202办公室）。逾期送达的或者未送达指定地点或者不按照招标文件要求密封的投标文件，招标人不予受理。</w:t>
      </w:r>
    </w:p>
    <w:p>
      <w:pPr>
        <w:spacing w:line="500" w:lineRule="exac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lang w:eastAsia="zh-CN"/>
        </w:rPr>
        <w:t>九</w:t>
      </w:r>
      <w:r>
        <w:rPr>
          <w:rFonts w:hint="eastAsia" w:ascii="宋体" w:hAnsi="宋体" w:eastAsia="宋体" w:cs="宋体"/>
          <w:b/>
          <w:bCs/>
          <w:color w:val="000000"/>
          <w:kern w:val="0"/>
          <w:sz w:val="28"/>
          <w:szCs w:val="28"/>
        </w:rPr>
        <w:t>、评标方式</w:t>
      </w:r>
    </w:p>
    <w:p>
      <w:pPr>
        <w:spacing w:line="500" w:lineRule="exact"/>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采购询价</w:t>
      </w:r>
    </w:p>
    <w:p>
      <w:pPr>
        <w:spacing w:line="500" w:lineRule="exac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lang w:eastAsia="zh-CN"/>
        </w:rPr>
        <w:t>十</w:t>
      </w:r>
      <w:r>
        <w:rPr>
          <w:rFonts w:hint="eastAsia" w:ascii="宋体" w:hAnsi="宋体" w:eastAsia="宋体" w:cs="宋体"/>
          <w:b/>
          <w:bCs/>
          <w:color w:val="000000"/>
          <w:kern w:val="0"/>
          <w:sz w:val="28"/>
          <w:szCs w:val="28"/>
        </w:rPr>
        <w:t xml:space="preserve">、发布公告的媒介 </w:t>
      </w:r>
    </w:p>
    <w:p>
      <w:pPr>
        <w:spacing w:line="500" w:lineRule="exact"/>
        <w:rPr>
          <w:rFonts w:ascii="华文仿宋" w:hAnsi="华文仿宋" w:eastAsia="华文仿宋" w:cs="华文仿宋"/>
          <w:sz w:val="30"/>
          <w:szCs w:val="30"/>
        </w:rPr>
      </w:pPr>
      <w:r>
        <w:rPr>
          <w:rFonts w:hint="eastAsia" w:ascii="华文仿宋" w:hAnsi="华文仿宋" w:eastAsia="华文仿宋" w:cs="华文仿宋"/>
          <w:sz w:val="30"/>
          <w:szCs w:val="30"/>
        </w:rPr>
        <w:t>本次招标公告在广西交通职业技术学院官网发布</w:t>
      </w:r>
    </w:p>
    <w:p>
      <w:pPr>
        <w:spacing w:line="500" w:lineRule="exac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十</w:t>
      </w:r>
      <w:r>
        <w:rPr>
          <w:rFonts w:hint="eastAsia" w:ascii="宋体" w:hAnsi="宋体" w:eastAsia="宋体" w:cs="宋体"/>
          <w:b/>
          <w:bCs/>
          <w:color w:val="000000"/>
          <w:kern w:val="0"/>
          <w:sz w:val="28"/>
          <w:szCs w:val="28"/>
          <w:lang w:eastAsia="zh-CN"/>
        </w:rPr>
        <w:t>一</w:t>
      </w:r>
      <w:bookmarkStart w:id="2" w:name="_GoBack"/>
      <w:bookmarkEnd w:id="2"/>
      <w:r>
        <w:rPr>
          <w:rFonts w:hint="eastAsia" w:ascii="宋体" w:hAnsi="宋体" w:eastAsia="宋体" w:cs="宋体"/>
          <w:b/>
          <w:bCs/>
          <w:color w:val="000000"/>
          <w:kern w:val="0"/>
          <w:sz w:val="28"/>
          <w:szCs w:val="28"/>
        </w:rPr>
        <w:t xml:space="preserve">、监督部门 </w:t>
      </w:r>
    </w:p>
    <w:p>
      <w:pPr>
        <w:spacing w:line="500" w:lineRule="exact"/>
        <w:ind w:firstLine="639" w:firstLineChars="213"/>
        <w:rPr>
          <w:rFonts w:ascii="华文仿宋" w:hAnsi="华文仿宋" w:eastAsia="华文仿宋" w:cs="华文仿宋"/>
          <w:sz w:val="30"/>
          <w:szCs w:val="30"/>
        </w:rPr>
      </w:pPr>
      <w:r>
        <w:rPr>
          <w:rFonts w:hint="eastAsia" w:ascii="华文仿宋" w:hAnsi="华文仿宋" w:eastAsia="华文仿宋" w:cs="华文仿宋"/>
          <w:sz w:val="30"/>
          <w:szCs w:val="30"/>
        </w:rPr>
        <w:t xml:space="preserve">广西交通职业技术学院纪检监察审计室 </w:t>
      </w:r>
    </w:p>
    <w:p>
      <w:pPr>
        <w:spacing w:line="500" w:lineRule="exact"/>
        <w:rPr>
          <w:rFonts w:ascii="华文仿宋" w:hAnsi="华文仿宋" w:eastAsia="华文仿宋" w:cs="华文仿宋"/>
          <w:sz w:val="30"/>
          <w:szCs w:val="30"/>
        </w:rPr>
      </w:pPr>
      <w:r>
        <w:rPr>
          <w:rFonts w:hint="eastAsia" w:ascii="华文仿宋" w:hAnsi="华文仿宋" w:eastAsia="华文仿宋" w:cs="华文仿宋"/>
          <w:sz w:val="30"/>
          <w:szCs w:val="30"/>
        </w:rPr>
        <w:t>招标人：广西交通职业技术学院</w:t>
      </w:r>
    </w:p>
    <w:p>
      <w:pPr>
        <w:spacing w:line="500" w:lineRule="exact"/>
        <w:rPr>
          <w:rFonts w:ascii="华文仿宋" w:hAnsi="华文仿宋" w:eastAsia="华文仿宋" w:cs="华文仿宋"/>
          <w:sz w:val="30"/>
          <w:szCs w:val="30"/>
        </w:rPr>
      </w:pPr>
      <w:r>
        <w:rPr>
          <w:rFonts w:hint="eastAsia" w:ascii="华文仿宋" w:hAnsi="华文仿宋" w:eastAsia="华文仿宋" w:cs="华文仿宋"/>
          <w:sz w:val="30"/>
          <w:szCs w:val="30"/>
        </w:rPr>
        <w:t>地址: 南宁市兴宁区三塘镇四塘社区广西交通职业技术学院内</w:t>
      </w:r>
    </w:p>
    <w:p>
      <w:pPr>
        <w:spacing w:line="500" w:lineRule="exact"/>
        <w:rPr>
          <w:rFonts w:ascii="华文仿宋" w:hAnsi="华文仿宋" w:eastAsia="华文仿宋" w:cs="华文仿宋"/>
          <w:sz w:val="30"/>
          <w:szCs w:val="30"/>
        </w:rPr>
      </w:pPr>
      <w:r>
        <w:rPr>
          <w:rFonts w:hint="eastAsia" w:ascii="华文仿宋" w:hAnsi="华文仿宋" w:eastAsia="华文仿宋" w:cs="华文仿宋"/>
          <w:sz w:val="30"/>
          <w:szCs w:val="30"/>
        </w:rPr>
        <w:t>联系人：李老师    电话：0771-5650355 5635347</w:t>
      </w:r>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sz w:val="30"/>
          <w:szCs w:val="30"/>
        </w:rPr>
      </w:pPr>
      <w:r>
        <w:rPr>
          <w:rFonts w:hint="eastAsia" w:ascii="华文仿宋" w:hAnsi="华文仿宋" w:eastAsia="华文仿宋" w:cs="华文仿宋"/>
          <w:sz w:val="30"/>
          <w:szCs w:val="30"/>
        </w:rPr>
        <w:t xml:space="preserve">                              2018年7月9日</w:t>
      </w:r>
    </w:p>
    <w:p>
      <w:pPr>
        <w:spacing w:line="500" w:lineRule="exact"/>
        <w:rPr>
          <w:rFonts w:ascii="华文仿宋" w:hAnsi="华文仿宋" w:eastAsia="华文仿宋" w:cs="华文仿宋"/>
          <w:sz w:val="30"/>
          <w:szCs w:val="30"/>
        </w:rPr>
      </w:pPr>
    </w:p>
    <w:p>
      <w:pPr>
        <w:widowControl/>
        <w:spacing w:line="520" w:lineRule="exact"/>
        <w:ind w:firstLine="3024" w:firstLineChars="900"/>
        <w:rPr>
          <w:rFonts w:ascii="宋体" w:hAnsi="宋体" w:eastAsia="宋体" w:cs="宋体"/>
          <w:spacing w:val="8"/>
          <w:kern w:val="0"/>
          <w:sz w:val="24"/>
          <w:szCs w:val="24"/>
        </w:rPr>
      </w:pPr>
      <w:r>
        <w:rPr>
          <w:rFonts w:hint="eastAsia" w:ascii="宋体" w:hAnsi="宋体" w:eastAsia="宋体" w:cs="宋体"/>
          <w:spacing w:val="8"/>
          <w:kern w:val="0"/>
          <w:sz w:val="32"/>
          <w:szCs w:val="32"/>
        </w:rPr>
        <w:t>学生公寓家具翻新合同</w:t>
      </w:r>
    </w:p>
    <w:p>
      <w:pPr>
        <w:widowControl/>
        <w:spacing w:line="520" w:lineRule="exact"/>
        <w:ind w:firstLine="3584" w:firstLineChars="1400"/>
        <w:rPr>
          <w:rFonts w:ascii="宋体" w:hAnsi="宋体" w:eastAsia="宋体" w:cs="宋体"/>
          <w:spacing w:val="8"/>
          <w:kern w:val="0"/>
          <w:sz w:val="24"/>
          <w:szCs w:val="24"/>
        </w:rPr>
      </w:pPr>
    </w:p>
    <w:p>
      <w:pPr>
        <w:widowControl/>
        <w:spacing w:line="520" w:lineRule="exact"/>
        <w:ind w:firstLine="256" w:firstLineChars="100"/>
        <w:rPr>
          <w:rFonts w:ascii="宋体" w:hAnsi="宋体" w:eastAsia="宋体" w:cs="宋体"/>
          <w:spacing w:val="8"/>
          <w:kern w:val="0"/>
          <w:sz w:val="24"/>
          <w:szCs w:val="24"/>
        </w:rPr>
      </w:pPr>
      <w:r>
        <w:rPr>
          <w:rFonts w:hint="eastAsia" w:ascii="宋体" w:hAnsi="宋体" w:eastAsia="宋体" w:cs="宋体"/>
          <w:spacing w:val="8"/>
          <w:kern w:val="0"/>
          <w:sz w:val="24"/>
          <w:szCs w:val="24"/>
        </w:rPr>
        <w:t>甲方：广西交通职业技术学院</w:t>
      </w:r>
    </w:p>
    <w:p>
      <w:pPr>
        <w:widowControl/>
        <w:spacing w:line="520" w:lineRule="exact"/>
        <w:ind w:firstLine="256" w:firstLineChars="100"/>
        <w:rPr>
          <w:rFonts w:ascii="宋体" w:hAnsi="宋体" w:eastAsia="宋体" w:cs="宋体"/>
          <w:spacing w:val="8"/>
          <w:kern w:val="0"/>
          <w:sz w:val="24"/>
          <w:szCs w:val="24"/>
        </w:rPr>
      </w:pPr>
      <w:r>
        <w:rPr>
          <w:rFonts w:hint="eastAsia" w:ascii="宋体" w:hAnsi="宋体" w:eastAsia="宋体" w:cs="宋体"/>
          <w:spacing w:val="8"/>
          <w:kern w:val="0"/>
          <w:sz w:val="24"/>
          <w:szCs w:val="24"/>
        </w:rPr>
        <w:t>乙方：</w:t>
      </w:r>
    </w:p>
    <w:p>
      <w:pPr>
        <w:widowControl/>
        <w:spacing w:line="520" w:lineRule="exact"/>
        <w:ind w:firstLine="256" w:firstLineChars="100"/>
        <w:rPr>
          <w:rFonts w:ascii="宋体" w:hAnsi="宋体" w:eastAsia="宋体" w:cs="宋体"/>
          <w:spacing w:val="8"/>
          <w:kern w:val="0"/>
          <w:sz w:val="24"/>
          <w:szCs w:val="24"/>
        </w:rPr>
      </w:pP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甲、乙双方依据《中华人民共和国合同法》及相关法律法规的规定，本着平等自愿、互惠互利、友好协商的原则，</w:t>
      </w:r>
      <w:r>
        <w:rPr>
          <w:rFonts w:hint="eastAsia" w:ascii="宋体" w:hAnsi="宋体" w:eastAsia="宋体" w:cs="宋体"/>
          <w:spacing w:val="8"/>
          <w:sz w:val="24"/>
          <w:szCs w:val="24"/>
        </w:rPr>
        <w:t>双方就学生公寓家具翻新有关事宜达</w:t>
      </w:r>
      <w:r>
        <w:rPr>
          <w:rFonts w:hint="eastAsia" w:ascii="宋体" w:hAnsi="宋体" w:eastAsia="宋体" w:cs="宋体"/>
          <w:sz w:val="24"/>
          <w:szCs w:val="24"/>
        </w:rPr>
        <w:t>成如下协议，以便共同遵守。</w:t>
      </w:r>
    </w:p>
    <w:p>
      <w:pPr>
        <w:widowControl/>
        <w:spacing w:line="520" w:lineRule="exact"/>
        <w:rPr>
          <w:rFonts w:ascii="宋体" w:hAnsi="宋体" w:eastAsia="宋体" w:cs="宋体"/>
          <w:spacing w:val="8"/>
          <w:kern w:val="0"/>
          <w:sz w:val="24"/>
          <w:szCs w:val="24"/>
        </w:rPr>
      </w:pPr>
      <w:r>
        <w:rPr>
          <w:rFonts w:hint="eastAsia" w:ascii="宋体" w:hAnsi="宋体" w:eastAsia="宋体" w:cs="宋体"/>
          <w:spacing w:val="8"/>
          <w:kern w:val="0"/>
          <w:sz w:val="24"/>
          <w:szCs w:val="24"/>
        </w:rPr>
        <w:t xml:space="preserve">成以下协议。 </w:t>
      </w:r>
    </w:p>
    <w:p>
      <w:pPr>
        <w:widowControl/>
        <w:spacing w:line="520" w:lineRule="exact"/>
        <w:rPr>
          <w:rFonts w:ascii="宋体" w:hAnsi="宋体" w:eastAsia="宋体" w:cs="宋体"/>
          <w:spacing w:val="8"/>
          <w:kern w:val="0"/>
          <w:sz w:val="24"/>
          <w:szCs w:val="24"/>
        </w:rPr>
      </w:pPr>
      <w:r>
        <w:rPr>
          <w:rFonts w:hint="eastAsia" w:ascii="宋体" w:hAnsi="宋体" w:eastAsia="宋体" w:cs="宋体"/>
          <w:spacing w:val="8"/>
          <w:kern w:val="0"/>
          <w:sz w:val="24"/>
          <w:szCs w:val="24"/>
        </w:rPr>
        <w:t>一、 翻新工艺及期限：</w:t>
      </w:r>
    </w:p>
    <w:p>
      <w:pPr>
        <w:spacing w:line="520" w:lineRule="exact"/>
        <w:ind w:firstLine="560"/>
        <w:rPr>
          <w:rFonts w:ascii="宋体" w:hAnsi="宋体" w:eastAsia="宋体" w:cs="宋体"/>
          <w:sz w:val="24"/>
          <w:szCs w:val="24"/>
        </w:rPr>
      </w:pPr>
      <w:r>
        <w:rPr>
          <w:rFonts w:hint="eastAsia" w:ascii="宋体" w:hAnsi="宋体" w:eastAsia="宋体" w:cs="宋体"/>
          <w:spacing w:val="8"/>
          <w:sz w:val="24"/>
          <w:szCs w:val="24"/>
        </w:rPr>
        <w:t>1、乙方根据甲方确定</w:t>
      </w:r>
      <w:r>
        <w:rPr>
          <w:rFonts w:hint="eastAsia" w:ascii="宋体" w:hAnsi="宋体" w:eastAsia="宋体" w:cs="宋体"/>
          <w:sz w:val="24"/>
          <w:szCs w:val="24"/>
        </w:rPr>
        <w:t>维修翻新工艺进行家具翻新，工艺包括整体拆装、打磨、除锈、喷漆、安装。喷漆表面处理：表面经酸洗、磷化、除锈等工序处理。</w:t>
      </w:r>
      <w:r>
        <w:rPr>
          <w:rFonts w:hint="eastAsia" w:ascii="宋体" w:hAnsi="宋体" w:eastAsia="宋体" w:cs="宋体"/>
          <w:sz w:val="24"/>
          <w:szCs w:val="24"/>
          <w:shd w:val="clear" w:color="auto" w:fill="FFFFFF"/>
        </w:rPr>
        <w:t>喷漆颜色与现用铁皮柜颜色一致。</w:t>
      </w:r>
      <w:r>
        <w:rPr>
          <w:rFonts w:hint="eastAsia" w:ascii="宋体" w:hAnsi="宋体" w:eastAsia="宋体" w:cs="宋体"/>
          <w:sz w:val="24"/>
          <w:szCs w:val="24"/>
        </w:rPr>
        <w:t xml:space="preserve">喷漆采用环保型优质粉末，采用先进的静电喷涂工艺，表面光亮平整，无颗粒、气泡、渣点，颜色均匀，硬度高、能长久保持漆面效果。 </w:t>
      </w:r>
    </w:p>
    <w:p>
      <w:pPr>
        <w:widowControl/>
        <w:spacing w:line="520" w:lineRule="exact"/>
        <w:ind w:firstLine="640"/>
        <w:jc w:val="left"/>
        <w:rPr>
          <w:rFonts w:ascii="宋体" w:hAnsi="宋体" w:eastAsia="宋体" w:cs="宋体"/>
          <w:kern w:val="0"/>
          <w:sz w:val="24"/>
          <w:szCs w:val="24"/>
        </w:rPr>
      </w:pPr>
      <w:r>
        <w:rPr>
          <w:rFonts w:hint="eastAsia" w:ascii="宋体" w:hAnsi="宋体" w:eastAsia="宋体" w:cs="宋体"/>
          <w:sz w:val="24"/>
          <w:szCs w:val="24"/>
        </w:rPr>
        <w:t xml:space="preserve">2、 </w:t>
      </w:r>
      <w:r>
        <w:rPr>
          <w:rFonts w:hint="eastAsia" w:ascii="宋体" w:hAnsi="宋体" w:eastAsia="宋体" w:cs="宋体"/>
          <w:kern w:val="0"/>
          <w:sz w:val="24"/>
          <w:szCs w:val="24"/>
        </w:rPr>
        <w:t>交货期限：自双方签订合同之日起，20个工作日内完成所有翻新和安装工作，并交付使用。（具体日期以合同约定为准）。</w:t>
      </w:r>
    </w:p>
    <w:p>
      <w:pPr>
        <w:widowControl/>
        <w:spacing w:line="520" w:lineRule="exact"/>
        <w:rPr>
          <w:rFonts w:ascii="宋体" w:hAnsi="宋体" w:eastAsia="宋体" w:cs="宋体"/>
          <w:spacing w:val="8"/>
          <w:kern w:val="0"/>
          <w:sz w:val="24"/>
          <w:szCs w:val="24"/>
        </w:rPr>
      </w:pPr>
      <w:r>
        <w:rPr>
          <w:rFonts w:hint="eastAsia" w:ascii="宋体" w:hAnsi="宋体" w:eastAsia="宋体" w:cs="宋体"/>
          <w:spacing w:val="8"/>
          <w:kern w:val="0"/>
          <w:sz w:val="24"/>
          <w:szCs w:val="24"/>
        </w:rPr>
        <w:t>二、翻新家具数量及货款：</w:t>
      </w:r>
    </w:p>
    <w:p>
      <w:pPr>
        <w:widowControl/>
        <w:spacing w:line="520" w:lineRule="exact"/>
        <w:rPr>
          <w:rFonts w:ascii="宋体" w:hAnsi="宋体" w:eastAsia="宋体" w:cs="宋体"/>
          <w:spacing w:val="8"/>
          <w:kern w:val="0"/>
          <w:sz w:val="24"/>
          <w:szCs w:val="24"/>
        </w:rPr>
      </w:pPr>
    </w:p>
    <w:p>
      <w:pPr>
        <w:widowControl/>
        <w:spacing w:line="520" w:lineRule="exact"/>
        <w:rPr>
          <w:rFonts w:ascii="宋体" w:hAnsi="宋体" w:eastAsia="宋体" w:cs="宋体"/>
          <w:spacing w:val="8"/>
          <w:kern w:val="0"/>
          <w:sz w:val="24"/>
          <w:szCs w:val="24"/>
        </w:rPr>
      </w:pPr>
      <w:r>
        <w:rPr>
          <w:rFonts w:hint="eastAsia" w:ascii="宋体" w:hAnsi="宋体" w:eastAsia="宋体" w:cs="宋体"/>
          <w:spacing w:val="8"/>
          <w:kern w:val="0"/>
          <w:sz w:val="24"/>
          <w:szCs w:val="24"/>
        </w:rPr>
        <w:t>三、双方权利及义务</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1、甲方无故逾期验收或办理合同款支付手续的，甲方应按逾期付款每日万分之五向乙方支付违约金。</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2、乙方逾期交付货物的，乙方应按逾期交货总额每日万分五向甲方支付违约金，由甲方从待付合同款中扣除。</w:t>
      </w:r>
    </w:p>
    <w:p>
      <w:pPr>
        <w:numPr>
          <w:ilvl w:val="0"/>
          <w:numId w:val="3"/>
        </w:numPr>
        <w:spacing w:line="520" w:lineRule="exact"/>
        <w:ind w:firstLine="435"/>
        <w:rPr>
          <w:rFonts w:ascii="宋体" w:hAnsi="宋体" w:eastAsia="宋体" w:cs="宋体"/>
          <w:spacing w:val="8"/>
          <w:sz w:val="24"/>
          <w:szCs w:val="24"/>
        </w:rPr>
      </w:pPr>
      <w:r>
        <w:rPr>
          <w:rFonts w:hint="eastAsia" w:ascii="宋体" w:hAnsi="宋体" w:eastAsia="宋体" w:cs="宋体"/>
          <w:sz w:val="24"/>
          <w:szCs w:val="24"/>
        </w:rPr>
        <w:t>乙方所维修翻新的家具不符合合同所规定工艺的，甲方有权拒收，乙方愿意重新翻新但逾期交货的，按乙方逾期交货处理。乙方拒绝重新翻新，甲方按验收不合格的家具数量折算金额从合同款中扣除。</w:t>
      </w:r>
    </w:p>
    <w:p>
      <w:pPr>
        <w:spacing w:line="520" w:lineRule="exact"/>
        <w:rPr>
          <w:rFonts w:ascii="宋体" w:hAnsi="宋体" w:eastAsia="宋体" w:cs="宋体"/>
          <w:spacing w:val="8"/>
          <w:sz w:val="24"/>
          <w:szCs w:val="24"/>
        </w:rPr>
      </w:pPr>
      <w:r>
        <w:rPr>
          <w:rFonts w:hint="eastAsia" w:ascii="宋体" w:hAnsi="宋体" w:eastAsia="宋体" w:cs="宋体"/>
          <w:spacing w:val="8"/>
          <w:sz w:val="24"/>
          <w:szCs w:val="24"/>
        </w:rPr>
        <w:t>四、结算及付款期限</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本项目无预付款，乙方完成全部</w:t>
      </w:r>
      <w:r>
        <w:rPr>
          <w:rFonts w:hint="eastAsia" w:ascii="宋体" w:hAnsi="宋体" w:eastAsia="宋体" w:cs="宋体"/>
          <w:kern w:val="0"/>
          <w:sz w:val="24"/>
          <w:szCs w:val="24"/>
        </w:rPr>
        <w:t>家具翻新</w:t>
      </w:r>
      <w:r>
        <w:rPr>
          <w:rFonts w:hint="eastAsia" w:ascii="宋体" w:hAnsi="宋体" w:eastAsia="宋体" w:cs="宋体"/>
          <w:sz w:val="24"/>
          <w:szCs w:val="24"/>
        </w:rPr>
        <w:t>，由甲方验收合格后，乙方向甲方开具相等金额的正式发票。甲方应在十五个工作日内一次性支付完本合同货款。</w:t>
      </w:r>
    </w:p>
    <w:p>
      <w:pPr>
        <w:widowControl/>
        <w:spacing w:line="520" w:lineRule="exact"/>
        <w:rPr>
          <w:rFonts w:ascii="宋体" w:hAnsi="宋体" w:eastAsia="宋体" w:cs="宋体"/>
          <w:spacing w:val="8"/>
          <w:kern w:val="0"/>
          <w:sz w:val="24"/>
          <w:szCs w:val="24"/>
        </w:rPr>
      </w:pPr>
      <w:r>
        <w:rPr>
          <w:rFonts w:hint="eastAsia" w:ascii="宋体" w:hAnsi="宋体" w:eastAsia="宋体" w:cs="宋体"/>
          <w:spacing w:val="8"/>
          <w:kern w:val="0"/>
          <w:sz w:val="24"/>
          <w:szCs w:val="24"/>
        </w:rPr>
        <w:t>五、合同争议解决方式</w:t>
      </w:r>
    </w:p>
    <w:p>
      <w:pPr>
        <w:widowControl/>
        <w:spacing w:line="520" w:lineRule="exact"/>
        <w:ind w:firstLine="512" w:firstLineChars="200"/>
        <w:rPr>
          <w:rFonts w:ascii="宋体" w:hAnsi="宋体" w:eastAsia="宋体" w:cs="宋体"/>
          <w:spacing w:val="8"/>
          <w:kern w:val="0"/>
          <w:sz w:val="24"/>
          <w:szCs w:val="24"/>
        </w:rPr>
      </w:pPr>
      <w:r>
        <w:rPr>
          <w:rFonts w:hint="eastAsia" w:ascii="宋体" w:hAnsi="宋体" w:eastAsia="宋体" w:cs="宋体"/>
          <w:spacing w:val="8"/>
          <w:kern w:val="0"/>
          <w:sz w:val="24"/>
          <w:szCs w:val="24"/>
        </w:rPr>
        <w:t>因本合同在履行中发生的争议，由双方协商解决，协商不成时，提交乙方所在地的人民法院裁决。</w:t>
      </w:r>
    </w:p>
    <w:p>
      <w:pPr>
        <w:widowControl/>
        <w:spacing w:line="520" w:lineRule="exact"/>
        <w:rPr>
          <w:rFonts w:ascii="宋体" w:hAnsi="宋体" w:eastAsia="宋体" w:cs="宋体"/>
          <w:spacing w:val="8"/>
          <w:kern w:val="0"/>
          <w:sz w:val="24"/>
          <w:szCs w:val="24"/>
        </w:rPr>
      </w:pPr>
      <w:r>
        <w:rPr>
          <w:rFonts w:hint="eastAsia" w:ascii="宋体" w:hAnsi="宋体" w:eastAsia="宋体" w:cs="宋体"/>
          <w:spacing w:val="8"/>
          <w:kern w:val="0"/>
          <w:sz w:val="24"/>
          <w:szCs w:val="24"/>
        </w:rPr>
        <w:t xml:space="preserve">以上如有未尽事宜，双方可友好协商解决，本合同自双方签字盖章之日起生效。 </w:t>
      </w:r>
    </w:p>
    <w:p>
      <w:pPr>
        <w:widowControl/>
        <w:spacing w:line="520" w:lineRule="exact"/>
        <w:rPr>
          <w:rFonts w:ascii="宋体" w:hAnsi="宋体" w:eastAsia="宋体" w:cs="宋体"/>
          <w:spacing w:val="8"/>
          <w:kern w:val="0"/>
          <w:sz w:val="24"/>
          <w:szCs w:val="24"/>
        </w:rPr>
      </w:pPr>
      <w:r>
        <w:rPr>
          <w:rFonts w:hint="eastAsia" w:ascii="宋体" w:hAnsi="宋体" w:eastAsia="宋体" w:cs="宋体"/>
          <w:spacing w:val="8"/>
          <w:kern w:val="0"/>
          <w:sz w:val="24"/>
          <w:szCs w:val="24"/>
        </w:rPr>
        <w:t>六、其他</w:t>
      </w:r>
    </w:p>
    <w:p>
      <w:pPr>
        <w:widowControl/>
        <w:spacing w:line="520" w:lineRule="exact"/>
        <w:rPr>
          <w:rFonts w:ascii="宋体" w:hAnsi="宋体" w:eastAsia="宋体" w:cs="宋体"/>
          <w:spacing w:val="8"/>
          <w:kern w:val="0"/>
          <w:sz w:val="24"/>
          <w:szCs w:val="24"/>
        </w:rPr>
      </w:pPr>
      <w:r>
        <w:rPr>
          <w:rFonts w:hint="eastAsia" w:ascii="宋体" w:hAnsi="宋体" w:eastAsia="宋体" w:cs="宋体"/>
          <w:spacing w:val="8"/>
          <w:kern w:val="0"/>
          <w:sz w:val="24"/>
          <w:szCs w:val="24"/>
        </w:rPr>
        <w:t>1、合同自双方签字、盖章之日起生效，保修期期满并办理保修终结手续后自行终止。合同有效期内，甲乙双方均不得随意变更或解除合同。</w:t>
      </w:r>
    </w:p>
    <w:p>
      <w:pPr>
        <w:widowControl/>
        <w:spacing w:line="520" w:lineRule="exact"/>
        <w:rPr>
          <w:rFonts w:ascii="宋体" w:hAnsi="宋体" w:eastAsia="宋体" w:cs="宋体"/>
          <w:spacing w:val="8"/>
          <w:kern w:val="0"/>
          <w:sz w:val="24"/>
          <w:szCs w:val="24"/>
        </w:rPr>
      </w:pPr>
      <w:r>
        <w:rPr>
          <w:rFonts w:hint="eastAsia" w:ascii="宋体" w:hAnsi="宋体" w:eastAsia="宋体" w:cs="宋体"/>
          <w:spacing w:val="8"/>
          <w:kern w:val="0"/>
          <w:sz w:val="24"/>
          <w:szCs w:val="24"/>
        </w:rPr>
        <w:t>2、本合同未尽事宜，需经双方协商，签订补充协议，与本合同具有同等的法律效力。</w:t>
      </w:r>
    </w:p>
    <w:p>
      <w:pPr>
        <w:widowControl/>
        <w:spacing w:line="520" w:lineRule="exact"/>
        <w:rPr>
          <w:rFonts w:ascii="宋体" w:hAnsi="宋体" w:eastAsia="宋体" w:cs="宋体"/>
          <w:spacing w:val="8"/>
          <w:kern w:val="0"/>
          <w:sz w:val="24"/>
          <w:szCs w:val="24"/>
        </w:rPr>
      </w:pPr>
      <w:r>
        <w:rPr>
          <w:rFonts w:hint="eastAsia" w:ascii="宋体" w:hAnsi="宋体" w:eastAsia="宋体" w:cs="宋体"/>
          <w:spacing w:val="8"/>
          <w:kern w:val="0"/>
          <w:sz w:val="24"/>
          <w:szCs w:val="24"/>
        </w:rPr>
        <w:t xml:space="preserve">3、本合同一式 份，甲乙双方各执 份，每份均具同等法律效力。 </w:t>
      </w:r>
    </w:p>
    <w:p>
      <w:pPr>
        <w:widowControl/>
        <w:spacing w:line="520" w:lineRule="exact"/>
        <w:rPr>
          <w:rFonts w:ascii="宋体" w:hAnsi="宋体" w:eastAsia="宋体" w:cs="宋体"/>
          <w:spacing w:val="8"/>
          <w:kern w:val="0"/>
          <w:sz w:val="24"/>
          <w:szCs w:val="24"/>
        </w:rPr>
      </w:pPr>
      <w:r>
        <w:rPr>
          <w:rFonts w:hint="eastAsia" w:ascii="宋体" w:hAnsi="宋体" w:eastAsia="宋体" w:cs="宋体"/>
          <w:spacing w:val="8"/>
          <w:kern w:val="0"/>
          <w:sz w:val="24"/>
          <w:szCs w:val="24"/>
        </w:rPr>
        <w:t>甲方：                        乙方：</w:t>
      </w:r>
    </w:p>
    <w:p>
      <w:pPr>
        <w:widowControl/>
        <w:spacing w:line="520" w:lineRule="exact"/>
        <w:rPr>
          <w:rFonts w:ascii="宋体" w:hAnsi="宋体" w:eastAsia="宋体" w:cs="宋体"/>
          <w:spacing w:val="8"/>
          <w:kern w:val="0"/>
          <w:sz w:val="24"/>
          <w:szCs w:val="24"/>
        </w:rPr>
      </w:pPr>
      <w:r>
        <w:rPr>
          <w:rFonts w:hint="eastAsia" w:ascii="宋体" w:hAnsi="宋体" w:eastAsia="宋体" w:cs="宋体"/>
          <w:spacing w:val="8"/>
          <w:kern w:val="0"/>
          <w:sz w:val="24"/>
          <w:szCs w:val="24"/>
        </w:rPr>
        <w:t xml:space="preserve"> 地址：                       地址：</w:t>
      </w:r>
    </w:p>
    <w:p>
      <w:pPr>
        <w:widowControl/>
        <w:spacing w:line="520" w:lineRule="exact"/>
        <w:rPr>
          <w:rFonts w:ascii="宋体" w:hAnsi="宋体" w:eastAsia="宋体" w:cs="宋体"/>
          <w:spacing w:val="8"/>
          <w:kern w:val="0"/>
          <w:sz w:val="24"/>
          <w:szCs w:val="24"/>
        </w:rPr>
      </w:pPr>
      <w:r>
        <w:rPr>
          <w:rFonts w:hint="eastAsia" w:ascii="宋体" w:hAnsi="宋体" w:eastAsia="宋体" w:cs="宋体"/>
          <w:spacing w:val="8"/>
          <w:kern w:val="0"/>
          <w:sz w:val="24"/>
          <w:szCs w:val="24"/>
        </w:rPr>
        <w:t>法定代表人 (或授权签约人)：    法定代表人 (或授权签约人)：</w:t>
      </w:r>
    </w:p>
    <w:p>
      <w:pPr>
        <w:widowControl/>
        <w:spacing w:line="520" w:lineRule="exact"/>
        <w:rPr>
          <w:rFonts w:ascii="宋体" w:hAnsi="宋体" w:eastAsia="宋体" w:cs="宋体"/>
          <w:spacing w:val="8"/>
          <w:kern w:val="0"/>
          <w:sz w:val="24"/>
          <w:szCs w:val="24"/>
        </w:rPr>
      </w:pPr>
      <w:r>
        <w:rPr>
          <w:rFonts w:hint="eastAsia" w:ascii="宋体" w:hAnsi="宋体" w:eastAsia="宋体" w:cs="宋体"/>
          <w:spacing w:val="8"/>
          <w:kern w:val="0"/>
          <w:sz w:val="24"/>
          <w:szCs w:val="24"/>
        </w:rPr>
        <w:t xml:space="preserve"> 电话：                        电话:</w:t>
      </w:r>
    </w:p>
    <w:p>
      <w:pPr>
        <w:widowControl/>
        <w:spacing w:line="520" w:lineRule="exact"/>
        <w:rPr>
          <w:rFonts w:ascii="宋体" w:hAnsi="宋体" w:eastAsia="宋体" w:cs="宋体"/>
          <w:spacing w:val="8"/>
          <w:kern w:val="0"/>
          <w:sz w:val="24"/>
          <w:szCs w:val="24"/>
        </w:rPr>
      </w:pPr>
    </w:p>
    <w:p>
      <w:pPr>
        <w:widowControl/>
        <w:spacing w:line="520" w:lineRule="exact"/>
        <w:rPr>
          <w:rFonts w:ascii="宋体" w:hAnsi="宋体" w:eastAsia="宋体" w:cs="宋体"/>
          <w:spacing w:val="8"/>
          <w:kern w:val="0"/>
          <w:sz w:val="24"/>
          <w:szCs w:val="24"/>
        </w:rPr>
      </w:pPr>
      <w:r>
        <w:rPr>
          <w:rFonts w:hint="eastAsia" w:ascii="宋体" w:hAnsi="宋体" w:eastAsia="宋体" w:cs="宋体"/>
          <w:spacing w:val="8"/>
          <w:kern w:val="0"/>
          <w:sz w:val="24"/>
          <w:szCs w:val="24"/>
        </w:rPr>
        <w:t>传真:</w:t>
      </w:r>
    </w:p>
    <w:p>
      <w:pPr>
        <w:spacing w:line="500" w:lineRule="exact"/>
        <w:rPr>
          <w:rFonts w:ascii="华文仿宋" w:hAnsi="华文仿宋" w:eastAsia="华文仿宋" w:cs="华文仿宋"/>
          <w:sz w:val="30"/>
          <w:szCs w:val="30"/>
        </w:rPr>
      </w:pPr>
    </w:p>
    <w:sectPr>
      <w:pgSz w:w="11906" w:h="16838"/>
      <w:pgMar w:top="1440"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华文仿宋">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B3C4D"/>
    <w:multiLevelType w:val="singleLevel"/>
    <w:tmpl w:val="57EB3C4D"/>
    <w:lvl w:ilvl="0" w:tentative="0">
      <w:start w:val="3"/>
      <w:numFmt w:val="decimal"/>
      <w:suff w:val="nothing"/>
      <w:lvlText w:val="%1、"/>
      <w:lvlJc w:val="left"/>
    </w:lvl>
  </w:abstractNum>
  <w:abstractNum w:abstractNumId="1">
    <w:nsid w:val="5965D9DA"/>
    <w:multiLevelType w:val="singleLevel"/>
    <w:tmpl w:val="5965D9DA"/>
    <w:lvl w:ilvl="0" w:tentative="0">
      <w:start w:val="1"/>
      <w:numFmt w:val="decimal"/>
      <w:suff w:val="nothing"/>
      <w:lvlText w:val="%1、"/>
      <w:lvlJc w:val="left"/>
    </w:lvl>
  </w:abstractNum>
  <w:abstractNum w:abstractNumId="2">
    <w:nsid w:val="66DD7E89"/>
    <w:multiLevelType w:val="multilevel"/>
    <w:tmpl w:val="66DD7E89"/>
    <w:lvl w:ilvl="0" w:tentative="0">
      <w:start w:val="1"/>
      <w:numFmt w:val="japaneseCounting"/>
      <w:lvlText w:val="%1、"/>
      <w:lvlJc w:val="left"/>
      <w:pPr>
        <w:ind w:left="720" w:hanging="720"/>
      </w:pPr>
      <w:rPr>
        <w:rFonts w:hint="default" w:ascii="华文仿宋" w:hAnsi="华文仿宋" w:eastAsia="华文仿宋" w:cs="华文仿宋"/>
        <w:color w:val="auto"/>
        <w:sz w:val="30"/>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53C"/>
    <w:rsid w:val="00004422"/>
    <w:rsid w:val="00025E8A"/>
    <w:rsid w:val="00025F9F"/>
    <w:rsid w:val="0004027A"/>
    <w:rsid w:val="000606C0"/>
    <w:rsid w:val="00071846"/>
    <w:rsid w:val="00075FB8"/>
    <w:rsid w:val="000C33E7"/>
    <w:rsid w:val="000E339E"/>
    <w:rsid w:val="000F2F43"/>
    <w:rsid w:val="00107099"/>
    <w:rsid w:val="00114FA5"/>
    <w:rsid w:val="0014286C"/>
    <w:rsid w:val="001517D8"/>
    <w:rsid w:val="00184D10"/>
    <w:rsid w:val="00186DBB"/>
    <w:rsid w:val="001A7358"/>
    <w:rsid w:val="001B702D"/>
    <w:rsid w:val="001C5DB4"/>
    <w:rsid w:val="001D3E22"/>
    <w:rsid w:val="00226BA6"/>
    <w:rsid w:val="002369FE"/>
    <w:rsid w:val="00254F73"/>
    <w:rsid w:val="00285EE2"/>
    <w:rsid w:val="00290C25"/>
    <w:rsid w:val="00290FD5"/>
    <w:rsid w:val="002D1436"/>
    <w:rsid w:val="00320CFC"/>
    <w:rsid w:val="00322E73"/>
    <w:rsid w:val="0032678E"/>
    <w:rsid w:val="003349A3"/>
    <w:rsid w:val="00364B1F"/>
    <w:rsid w:val="003B753C"/>
    <w:rsid w:val="003D52F4"/>
    <w:rsid w:val="003F7B2C"/>
    <w:rsid w:val="00407A66"/>
    <w:rsid w:val="00416DAF"/>
    <w:rsid w:val="00430727"/>
    <w:rsid w:val="00442801"/>
    <w:rsid w:val="00443A40"/>
    <w:rsid w:val="00460A33"/>
    <w:rsid w:val="00470C60"/>
    <w:rsid w:val="004A28EE"/>
    <w:rsid w:val="004A2D37"/>
    <w:rsid w:val="004C6605"/>
    <w:rsid w:val="004D335B"/>
    <w:rsid w:val="004E2502"/>
    <w:rsid w:val="004F152E"/>
    <w:rsid w:val="005213AE"/>
    <w:rsid w:val="0055417C"/>
    <w:rsid w:val="005703D7"/>
    <w:rsid w:val="00596001"/>
    <w:rsid w:val="005A224C"/>
    <w:rsid w:val="005A456F"/>
    <w:rsid w:val="005F3A4B"/>
    <w:rsid w:val="00603095"/>
    <w:rsid w:val="0060676F"/>
    <w:rsid w:val="006318FF"/>
    <w:rsid w:val="00640913"/>
    <w:rsid w:val="00653954"/>
    <w:rsid w:val="00657705"/>
    <w:rsid w:val="00660A19"/>
    <w:rsid w:val="006716EF"/>
    <w:rsid w:val="00676DCC"/>
    <w:rsid w:val="006838EB"/>
    <w:rsid w:val="00684206"/>
    <w:rsid w:val="006A6B54"/>
    <w:rsid w:val="006B1AE0"/>
    <w:rsid w:val="006B49D2"/>
    <w:rsid w:val="00705A6D"/>
    <w:rsid w:val="00715257"/>
    <w:rsid w:val="00715B88"/>
    <w:rsid w:val="0072544E"/>
    <w:rsid w:val="007404FC"/>
    <w:rsid w:val="0074362B"/>
    <w:rsid w:val="007A3E0B"/>
    <w:rsid w:val="007A57B3"/>
    <w:rsid w:val="007D24C1"/>
    <w:rsid w:val="0081363F"/>
    <w:rsid w:val="00816CA9"/>
    <w:rsid w:val="00862589"/>
    <w:rsid w:val="008712B8"/>
    <w:rsid w:val="0087344D"/>
    <w:rsid w:val="00874DC3"/>
    <w:rsid w:val="0088364F"/>
    <w:rsid w:val="00892F3B"/>
    <w:rsid w:val="008A4A5A"/>
    <w:rsid w:val="008F321E"/>
    <w:rsid w:val="009065FD"/>
    <w:rsid w:val="009230EC"/>
    <w:rsid w:val="0096392B"/>
    <w:rsid w:val="009918E5"/>
    <w:rsid w:val="009919E3"/>
    <w:rsid w:val="0099531E"/>
    <w:rsid w:val="009A3D5B"/>
    <w:rsid w:val="009E0E14"/>
    <w:rsid w:val="00A11C55"/>
    <w:rsid w:val="00A20C42"/>
    <w:rsid w:val="00A37C6B"/>
    <w:rsid w:val="00A714F7"/>
    <w:rsid w:val="00A7570A"/>
    <w:rsid w:val="00AA0D20"/>
    <w:rsid w:val="00AB6FEF"/>
    <w:rsid w:val="00AD33BF"/>
    <w:rsid w:val="00AF6A9F"/>
    <w:rsid w:val="00B2179D"/>
    <w:rsid w:val="00B27BD5"/>
    <w:rsid w:val="00B47954"/>
    <w:rsid w:val="00B539EE"/>
    <w:rsid w:val="00B67A08"/>
    <w:rsid w:val="00B9317A"/>
    <w:rsid w:val="00B9332A"/>
    <w:rsid w:val="00BD11E8"/>
    <w:rsid w:val="00BE34FB"/>
    <w:rsid w:val="00BE4711"/>
    <w:rsid w:val="00BF62D5"/>
    <w:rsid w:val="00C02496"/>
    <w:rsid w:val="00C13179"/>
    <w:rsid w:val="00C52529"/>
    <w:rsid w:val="00C62DED"/>
    <w:rsid w:val="00C85EB0"/>
    <w:rsid w:val="00CB20A4"/>
    <w:rsid w:val="00CE7B3A"/>
    <w:rsid w:val="00CF3F33"/>
    <w:rsid w:val="00D31E0E"/>
    <w:rsid w:val="00D52A55"/>
    <w:rsid w:val="00DA7FD7"/>
    <w:rsid w:val="00DC35BC"/>
    <w:rsid w:val="00DE607D"/>
    <w:rsid w:val="00E41387"/>
    <w:rsid w:val="00E576CA"/>
    <w:rsid w:val="00E95409"/>
    <w:rsid w:val="00F1671F"/>
    <w:rsid w:val="00F4388E"/>
    <w:rsid w:val="00F53A5D"/>
    <w:rsid w:val="00F66BF4"/>
    <w:rsid w:val="00FA3622"/>
    <w:rsid w:val="00FA7DCD"/>
    <w:rsid w:val="00FB4585"/>
    <w:rsid w:val="00FB5B5A"/>
    <w:rsid w:val="00FF65FA"/>
    <w:rsid w:val="03BB15B3"/>
    <w:rsid w:val="085E5B1B"/>
    <w:rsid w:val="4CC121B9"/>
    <w:rsid w:val="4DB0226D"/>
    <w:rsid w:val="54105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0"/>
    <w:pPr>
      <w:keepNext/>
      <w:keepLines/>
      <w:spacing w:before="340" w:after="330"/>
      <w:jc w:val="center"/>
      <w:outlineLvl w:val="0"/>
    </w:pPr>
    <w:rPr>
      <w:b/>
      <w:bCs/>
      <w:kern w:val="44"/>
      <w:sz w:val="28"/>
      <w:szCs w:val="44"/>
    </w:rPr>
  </w:style>
  <w:style w:type="character" w:default="1" w:styleId="7">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8"/>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table" w:styleId="10">
    <w:name w:val="Table Grid"/>
    <w:basedOn w:val="9"/>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页眉 Char"/>
    <w:basedOn w:val="7"/>
    <w:link w:val="6"/>
    <w:qFormat/>
    <w:uiPriority w:val="99"/>
    <w:rPr>
      <w:sz w:val="18"/>
      <w:szCs w:val="18"/>
    </w:rPr>
  </w:style>
  <w:style w:type="character" w:customStyle="1" w:styleId="12">
    <w:name w:val="页脚 Char"/>
    <w:basedOn w:val="7"/>
    <w:link w:val="5"/>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日期 Char"/>
    <w:basedOn w:val="7"/>
    <w:link w:val="3"/>
    <w:semiHidden/>
    <w:qFormat/>
    <w:uiPriority w:val="99"/>
  </w:style>
  <w:style w:type="paragraph" w:customStyle="1" w:styleId="15">
    <w:name w:val="正文1"/>
    <w:qFormat/>
    <w:uiPriority w:val="0"/>
    <w:rPr>
      <w:rFonts w:ascii="Times New Roman" w:hAnsi="Times New Roman" w:eastAsia="Times New Roman" w:cs="Times New Roman"/>
      <w:sz w:val="24"/>
      <w:szCs w:val="24"/>
      <w:lang w:val="en-US" w:eastAsia="zh-CN" w:bidi="ar-SA"/>
    </w:rPr>
  </w:style>
  <w:style w:type="character" w:customStyle="1" w:styleId="16">
    <w:name w:val="标题 1 Char"/>
    <w:basedOn w:val="7"/>
    <w:qFormat/>
    <w:uiPriority w:val="9"/>
    <w:rPr>
      <w:b/>
      <w:bCs/>
      <w:kern w:val="44"/>
      <w:sz w:val="44"/>
      <w:szCs w:val="44"/>
    </w:rPr>
  </w:style>
  <w:style w:type="character" w:customStyle="1" w:styleId="17">
    <w:name w:val="标题 1 Char1"/>
    <w:basedOn w:val="7"/>
    <w:link w:val="2"/>
    <w:qFormat/>
    <w:uiPriority w:val="0"/>
    <w:rPr>
      <w:b/>
      <w:bCs/>
      <w:kern w:val="44"/>
      <w:sz w:val="28"/>
      <w:szCs w:val="44"/>
    </w:rPr>
  </w:style>
  <w:style w:type="character" w:customStyle="1" w:styleId="18">
    <w:name w:val="批注框文本 Char"/>
    <w:basedOn w:val="7"/>
    <w:link w:val="4"/>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338</Words>
  <Characters>1927</Characters>
  <Lines>16</Lines>
  <Paragraphs>4</Paragraphs>
  <TotalTime>11</TotalTime>
  <ScaleCrop>false</ScaleCrop>
  <LinksUpToDate>false</LinksUpToDate>
  <CharactersWithSpaces>2261</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2018-07-06T01:44:00Z</dcterms:created>
  <dc:creator>kold</dc:creator>
  <cp:lastModifiedBy>小楼◇YL</cp:lastModifiedBy>
  <cp:lastPrinted>2018-07-06T01:44:00Z</cp:lastPrinted>
  <dcterms:modified xsi:type="dcterms:W3CDTF">2018-07-09T03:57:38Z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