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附件2：      </w:t>
      </w:r>
      <w:r>
        <w:rPr>
          <w:rFonts w:hint="eastAsia" w:ascii="仿宋" w:hAnsi="仿宋" w:eastAsia="仿宋" w:cs="仿宋"/>
          <w:b/>
          <w:sz w:val="32"/>
          <w:szCs w:val="32"/>
        </w:rPr>
        <w:t xml:space="preserve">  </w:t>
      </w:r>
    </w:p>
    <w:p>
      <w:pPr>
        <w:widowControl w:val="0"/>
        <w:adjustRightInd/>
        <w:snapToGrid/>
        <w:spacing w:after="0" w:line="500" w:lineRule="exact"/>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广西交通职业技术学院</w:t>
      </w:r>
    </w:p>
    <w:p>
      <w:pPr>
        <w:widowControl w:val="0"/>
        <w:adjustRightInd/>
        <w:snapToGrid/>
        <w:spacing w:after="0" w:line="500" w:lineRule="exact"/>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分类垃圾桶项目采购协议书</w:t>
      </w:r>
    </w:p>
    <w:p>
      <w:pPr>
        <w:pStyle w:val="3"/>
        <w:ind w:firstLine="0" w:firstLineChars="0"/>
        <w:rPr>
          <w:rFonts w:asciiTheme="minorEastAsia" w:hAnsiTheme="minorEastAsia"/>
          <w:sz w:val="28"/>
          <w:szCs w:val="28"/>
        </w:rPr>
      </w:pP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甲方：广西交通职业技术学院</w:t>
      </w: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 xml:space="preserve">乙方：    </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甲、乙双方依据《中华人民共和国合同法》及相关法律法规的规定，本着平等自愿、互惠互利、友好协商的原则，就甲方购买乙方货物事宜达成如下协议，以便共同遵守。</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甲方向乙方所购商品（附清单）；总货款为（大写）：</w:t>
      </w:r>
    </w:p>
    <w:tbl>
      <w:tblPr>
        <w:tblStyle w:val="4"/>
        <w:tblpPr w:leftFromText="180" w:rightFromText="180" w:vertAnchor="text" w:horzAnchor="page" w:tblpX="1438" w:tblpY="647"/>
        <w:tblOverlap w:val="never"/>
        <w:tblW w:w="8745" w:type="dxa"/>
        <w:tblInd w:w="0" w:type="dxa"/>
        <w:tblLayout w:type="fixed"/>
        <w:tblCellMar>
          <w:top w:w="0" w:type="dxa"/>
          <w:left w:w="108" w:type="dxa"/>
          <w:bottom w:w="0" w:type="dxa"/>
          <w:right w:w="108" w:type="dxa"/>
        </w:tblCellMar>
      </w:tblPr>
      <w:tblGrid>
        <w:gridCol w:w="530"/>
        <w:gridCol w:w="1589"/>
        <w:gridCol w:w="2882"/>
        <w:gridCol w:w="555"/>
        <w:gridCol w:w="884"/>
        <w:gridCol w:w="1126"/>
        <w:gridCol w:w="1179"/>
      </w:tblGrid>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序号</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货物名称</w:t>
            </w:r>
          </w:p>
        </w:tc>
        <w:tc>
          <w:tcPr>
            <w:tcW w:w="2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规格型号</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单位</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数量</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单价（元）</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小计（元）</w:t>
            </w:r>
          </w:p>
        </w:tc>
      </w:tr>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1</w:t>
            </w:r>
          </w:p>
        </w:tc>
        <w:tc>
          <w:tcPr>
            <w:tcW w:w="158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2</w:t>
            </w:r>
          </w:p>
        </w:tc>
        <w:tc>
          <w:tcPr>
            <w:tcW w:w="158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3</w:t>
            </w:r>
          </w:p>
        </w:tc>
        <w:tc>
          <w:tcPr>
            <w:tcW w:w="158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4</w:t>
            </w:r>
          </w:p>
        </w:tc>
        <w:tc>
          <w:tcPr>
            <w:tcW w:w="158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r>
              <w:rPr>
                <w:rFonts w:hint="eastAsia" w:cs="宋体" w:asciiTheme="minorEastAsia" w:hAnsiTheme="minorEastAsia"/>
                <w:color w:val="000000"/>
                <w:sz w:val="24"/>
                <w:szCs w:val="24"/>
              </w:rPr>
              <w:t>5</w:t>
            </w:r>
          </w:p>
        </w:tc>
        <w:tc>
          <w:tcPr>
            <w:tcW w:w="158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hint="eastAsia" w:cs="宋体" w:asciiTheme="minorEastAsia" w:hAnsiTheme="minorEastAsia" w:eastAsiaTheme="minorEastAsia"/>
                <w:color w:val="000000"/>
                <w:kern w:val="2"/>
                <w:sz w:val="24"/>
                <w:szCs w:val="24"/>
                <w:lang w:val="en-US" w:eastAsia="zh-CN"/>
              </w:rPr>
            </w:pPr>
            <w:r>
              <w:rPr>
                <w:rFonts w:hint="eastAsia" w:cs="宋体" w:asciiTheme="minorEastAsia" w:hAnsiTheme="minorEastAsia" w:eastAsiaTheme="minorEastAsia"/>
                <w:color w:val="000000"/>
                <w:kern w:val="2"/>
                <w:sz w:val="24"/>
                <w:szCs w:val="24"/>
                <w:lang w:val="en-US" w:eastAsia="zh-CN"/>
              </w:rPr>
              <w:t>6</w:t>
            </w:r>
          </w:p>
        </w:tc>
        <w:tc>
          <w:tcPr>
            <w:tcW w:w="158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hint="eastAsia" w:cs="宋体" w:asciiTheme="minorEastAsia" w:hAnsiTheme="minorEastAsia" w:eastAsiaTheme="minorEastAsia"/>
                <w:color w:val="000000"/>
                <w:kern w:val="2"/>
                <w:sz w:val="24"/>
                <w:szCs w:val="24"/>
                <w:lang w:val="en-US" w:eastAsia="zh-CN"/>
              </w:rPr>
            </w:pPr>
            <w:r>
              <w:rPr>
                <w:rFonts w:hint="eastAsia" w:cs="宋体" w:asciiTheme="minorEastAsia" w:hAnsiTheme="minorEastAsia" w:eastAsiaTheme="minorEastAsia"/>
                <w:color w:val="000000"/>
                <w:kern w:val="2"/>
                <w:sz w:val="24"/>
                <w:szCs w:val="24"/>
                <w:lang w:val="en-US" w:eastAsia="zh-CN"/>
              </w:rPr>
              <w:t>7</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2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756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合计</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cs="宋体" w:asciiTheme="minorEastAsia" w:hAnsiTheme="minorEastAsia" w:eastAsiaTheme="minorEastAsia"/>
                <w:color w:val="000000"/>
                <w:kern w:val="2"/>
                <w:sz w:val="24"/>
                <w:szCs w:val="24"/>
              </w:rPr>
            </w:pPr>
          </w:p>
        </w:tc>
      </w:tr>
      <w:tr>
        <w:tblPrEx>
          <w:tblCellMar>
            <w:top w:w="0" w:type="dxa"/>
            <w:left w:w="108" w:type="dxa"/>
            <w:bottom w:w="0" w:type="dxa"/>
            <w:right w:w="108" w:type="dxa"/>
          </w:tblCellMar>
        </w:tblPrEx>
        <w:trPr>
          <w:trHeight w:val="420" w:hRule="atLeast"/>
        </w:trPr>
        <w:tc>
          <w:tcPr>
            <w:tcW w:w="8745"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val="0"/>
              <w:adjustRightInd/>
              <w:snapToGrid/>
              <w:spacing w:after="0" w:line="500" w:lineRule="exact"/>
              <w:ind w:firstLine="420" w:firstLineChars="200"/>
              <w:jc w:val="both"/>
              <w:rPr>
                <w:rFonts w:hint="eastAsia"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注：</w:t>
            </w:r>
          </w:p>
          <w:p>
            <w:pPr>
              <w:widowControl w:val="0"/>
              <w:numPr>
                <w:ilvl w:val="0"/>
                <w:numId w:val="1"/>
              </w:numPr>
              <w:adjustRightInd/>
              <w:snapToGrid/>
              <w:spacing w:after="0" w:line="500" w:lineRule="exact"/>
              <w:ind w:firstLine="420" w:firstLineChars="200"/>
              <w:jc w:val="both"/>
              <w:rPr>
                <w:rFonts w:hint="eastAsia" w:cs="Times New Roman" w:asciiTheme="minorEastAsia" w:hAnsiTheme="minorEastAsia" w:eastAsiaTheme="minorEastAsia"/>
                <w:kern w:val="2"/>
                <w:sz w:val="21"/>
                <w:szCs w:val="21"/>
              </w:rPr>
            </w:pPr>
            <w:bookmarkStart w:id="0" w:name="_GoBack"/>
            <w:bookmarkEnd w:id="0"/>
            <w:r>
              <w:rPr>
                <w:rFonts w:hint="eastAsia" w:cs="Times New Roman" w:asciiTheme="minorEastAsia" w:hAnsiTheme="minorEastAsia" w:eastAsiaTheme="minorEastAsia"/>
                <w:kern w:val="2"/>
                <w:sz w:val="21"/>
                <w:szCs w:val="21"/>
              </w:rPr>
              <w:t>物品要求全新，未使用过，非长期积压的库存物品。</w:t>
            </w:r>
          </w:p>
          <w:p>
            <w:pPr>
              <w:widowControl w:val="0"/>
              <w:numPr>
                <w:ilvl w:val="0"/>
                <w:numId w:val="1"/>
              </w:numPr>
              <w:adjustRightInd/>
              <w:snapToGrid/>
              <w:spacing w:after="0" w:line="500" w:lineRule="exact"/>
              <w:ind w:firstLine="420" w:firstLineChars="200"/>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2.</w:t>
            </w:r>
            <w:r>
              <w:rPr>
                <w:rFonts w:hint="eastAsia" w:cs="Times New Roman" w:asciiTheme="minorEastAsia" w:hAnsiTheme="minorEastAsia" w:eastAsiaTheme="minorEastAsia"/>
                <w:kern w:val="2"/>
                <w:sz w:val="21"/>
                <w:szCs w:val="21"/>
              </w:rPr>
              <w:t>符合规定的质量、规格和性能要求，在使用寿命内具有正常的性能标准。各项技术指标应当符合国家（强制性）标准和各项规范要求。</w:t>
            </w:r>
          </w:p>
          <w:p>
            <w:pPr>
              <w:widowControl w:val="0"/>
              <w:numPr>
                <w:ilvl w:val="0"/>
                <w:numId w:val="1"/>
              </w:numPr>
              <w:adjustRightInd/>
              <w:snapToGrid/>
              <w:spacing w:after="0" w:line="500" w:lineRule="exact"/>
              <w:ind w:firstLine="420" w:firstLineChars="200"/>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质保期：1年（自</w:t>
            </w:r>
            <w:r>
              <w:rPr>
                <w:rFonts w:hint="eastAsia" w:cs="Times New Roman" w:asciiTheme="minorEastAsia" w:hAnsiTheme="minorEastAsia" w:eastAsiaTheme="minorEastAsia"/>
                <w:kern w:val="2"/>
                <w:sz w:val="21"/>
                <w:szCs w:val="21"/>
              </w:rPr>
              <w:t>甲方验收合格</w:t>
            </w:r>
            <w:r>
              <w:rPr>
                <w:rFonts w:hint="eastAsia" w:cs="Times New Roman" w:asciiTheme="minorEastAsia" w:hAnsiTheme="minorEastAsia" w:eastAsiaTheme="minorEastAsia"/>
                <w:kern w:val="2"/>
                <w:sz w:val="21"/>
                <w:szCs w:val="21"/>
                <w:lang w:val="en-US" w:eastAsia="zh-CN"/>
              </w:rPr>
              <w:t>之日起</w:t>
            </w:r>
            <w:r>
              <w:rPr>
                <w:rFonts w:hint="eastAsia" w:cs="Times New Roman" w:asciiTheme="minorEastAsia" w:hAnsiTheme="minorEastAsia" w:eastAsiaTheme="minorEastAsia"/>
                <w:kern w:val="2"/>
                <w:sz w:val="21"/>
                <w:szCs w:val="21"/>
                <w:lang w:val="en-US" w:eastAsia="zh-CN"/>
              </w:rPr>
              <w:t>）</w:t>
            </w:r>
          </w:p>
        </w:tc>
      </w:tr>
    </w:tbl>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二、双方的权利和义务</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1、乙方在本合同签订之日起7个工作日内向甲方提供所购全部货物及开具相等金额的增值税专用发票。</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highlight w:val="none"/>
        </w:rPr>
      </w:pPr>
      <w:r>
        <w:rPr>
          <w:rFonts w:hint="eastAsia" w:cs="Times New Roman" w:asciiTheme="minorEastAsia" w:hAnsiTheme="minorEastAsia" w:eastAsiaTheme="minorEastAsia"/>
          <w:kern w:val="2"/>
          <w:sz w:val="28"/>
          <w:szCs w:val="28"/>
          <w:highlight w:val="none"/>
        </w:rPr>
        <w:t>2、乙方对所提供的货物的质量负责，质保期内，乙方按照货物生产厂家质保规定和国家相关法律规定（以标准较高者为准）免费提供质保维修服务。</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lang w:val="en-US" w:eastAsia="zh-CN"/>
        </w:rPr>
        <w:t>3、</w:t>
      </w:r>
      <w:r>
        <w:rPr>
          <w:rFonts w:hint="eastAsia" w:cs="Times New Roman" w:asciiTheme="minorEastAsia" w:hAnsiTheme="minorEastAsia" w:eastAsiaTheme="minorEastAsia"/>
          <w:kern w:val="2"/>
          <w:sz w:val="28"/>
          <w:szCs w:val="28"/>
        </w:rPr>
        <w:t>本项目无预付款，乙方将货物运达甲方约定交货地点，由甲方验收合格后</w:t>
      </w:r>
      <w:r>
        <w:rPr>
          <w:rFonts w:hint="eastAsia" w:cs="Times New Roman" w:asciiTheme="minorEastAsia" w:hAnsiTheme="minorEastAsia" w:eastAsiaTheme="minorEastAsia"/>
          <w:kern w:val="2"/>
          <w:sz w:val="28"/>
          <w:szCs w:val="28"/>
          <w:lang w:eastAsia="zh-CN"/>
        </w:rPr>
        <w:t>，</w:t>
      </w:r>
      <w:r>
        <w:rPr>
          <w:rFonts w:hint="eastAsia" w:cs="Times New Roman" w:asciiTheme="minorEastAsia" w:hAnsiTheme="minorEastAsia" w:eastAsiaTheme="minorEastAsia"/>
          <w:kern w:val="2"/>
          <w:sz w:val="28"/>
          <w:szCs w:val="28"/>
        </w:rPr>
        <w:t>甲方应在十五个工作日内一次性支付完本合同货款。</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4、乙方逾期交付货物的，乙方应按逾期交货总额每日万分五向甲方支付违约金，由甲方从待付合同款中扣除。</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5、乙方所交的货物品种、型号、规格、技术参数、质量不符合合同所规定的规格型号标准的，甲方有权拒收该货物，乙方愿意更换货物但逾期交货的，按乙方逾期交货处理。乙方拒绝更换货物的，甲方可单方面解除合同。</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三、本合同一式陆份，具有同等法律效力，甲乙方各执叁份，经甲乙双方签字盖章后生效。未尽事宜，协商解决。</w:t>
      </w:r>
    </w:p>
    <w:p>
      <w:pPr>
        <w:widowControl w:val="0"/>
        <w:adjustRightInd/>
        <w:snapToGrid/>
        <w:spacing w:after="0" w:line="500" w:lineRule="exact"/>
        <w:ind w:firstLine="560" w:firstLineChars="200"/>
        <w:jc w:val="both"/>
        <w:rPr>
          <w:rFonts w:cs="Times New Roman" w:asciiTheme="minorEastAsia" w:hAnsiTheme="minorEastAsia" w:eastAsiaTheme="minorEastAsia"/>
          <w:kern w:val="2"/>
          <w:sz w:val="28"/>
          <w:szCs w:val="28"/>
        </w:rPr>
      </w:pP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甲方（盖章）：广西交通职业技术学院   乙方（盖章）：</w:t>
      </w: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地址： 南宁市园湖北路12号          地址：</w:t>
      </w: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甲方代表：                          乙方代表：</w:t>
      </w: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电话： 0771-5650355  5635347        电话：</w:t>
      </w:r>
    </w:p>
    <w:p>
      <w:pPr>
        <w:widowControl w:val="0"/>
        <w:adjustRightInd/>
        <w:snapToGrid/>
        <w:spacing w:after="0" w:line="500" w:lineRule="exact"/>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 xml:space="preserve">   年    月     日                     年   月    日</w:t>
      </w:r>
    </w:p>
    <w:p>
      <w:pPr>
        <w:pStyle w:val="3"/>
        <w:ind w:firstLine="210"/>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5F897"/>
    <w:multiLevelType w:val="singleLevel"/>
    <w:tmpl w:val="C345F8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DQ4YzE2NmFjN2I4NTVlZjYwYjc4ZmFhNzk1NGVlYjkifQ=="/>
  </w:docVars>
  <w:rsids>
    <w:rsidRoot w:val="00D31D50"/>
    <w:rsid w:val="000F39F5"/>
    <w:rsid w:val="00323B43"/>
    <w:rsid w:val="003D37D8"/>
    <w:rsid w:val="00426133"/>
    <w:rsid w:val="004358AB"/>
    <w:rsid w:val="0078742C"/>
    <w:rsid w:val="00867DBB"/>
    <w:rsid w:val="008B7726"/>
    <w:rsid w:val="00BB4247"/>
    <w:rsid w:val="00D31D50"/>
    <w:rsid w:val="00D72EBD"/>
    <w:rsid w:val="37E75F81"/>
    <w:rsid w:val="4ED57301"/>
    <w:rsid w:val="5F80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unhideWhenUsed/>
    <w:qFormat/>
    <w:uiPriority w:val="99"/>
    <w:pPr>
      <w:spacing w:after="120"/>
    </w:pPr>
  </w:style>
  <w:style w:type="paragraph" w:styleId="3">
    <w:name w:val="Body Text First Indent"/>
    <w:basedOn w:val="2"/>
    <w:link w:val="7"/>
    <w:semiHidden/>
    <w:unhideWhenUsed/>
    <w:qFormat/>
    <w:uiPriority w:val="99"/>
    <w:pPr>
      <w:widowControl w:val="0"/>
      <w:adjustRightInd/>
      <w:snapToGrid/>
      <w:ind w:firstLine="420" w:firstLineChars="100"/>
      <w:jc w:val="both"/>
    </w:pPr>
    <w:rPr>
      <w:rFonts w:asciiTheme="minorHAnsi" w:hAnsiTheme="minorHAnsi" w:eastAsiaTheme="minorEastAsia"/>
      <w:kern w:val="2"/>
      <w:sz w:val="21"/>
    </w:rPr>
  </w:style>
  <w:style w:type="character" w:customStyle="1" w:styleId="6">
    <w:name w:val="正文文本 Char"/>
    <w:basedOn w:val="5"/>
    <w:link w:val="2"/>
    <w:semiHidden/>
    <w:qFormat/>
    <w:uiPriority w:val="99"/>
    <w:rPr>
      <w:rFonts w:ascii="Tahoma" w:hAnsi="Tahoma"/>
    </w:rPr>
  </w:style>
  <w:style w:type="character" w:customStyle="1" w:styleId="7">
    <w:name w:val="正文首行缩进 Char"/>
    <w:basedOn w:val="6"/>
    <w:link w:val="3"/>
    <w:semiHidden/>
    <w:uiPriority w:val="99"/>
    <w:rPr>
      <w:rFonts w:eastAsiaTheme="minorEastAsia"/>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698</Words>
  <Characters>719</Characters>
  <Lines>6</Lines>
  <Paragraphs>1</Paragraphs>
  <TotalTime>3</TotalTime>
  <ScaleCrop>false</ScaleCrop>
  <LinksUpToDate>false</LinksUpToDate>
  <CharactersWithSpaces>822</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lky</dc:creator>
  <cp:lastModifiedBy>李克元</cp:lastModifiedBy>
  <dcterms:modified xsi:type="dcterms:W3CDTF">2022-09-16T03:30:07Z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56992D1C6F334DA0A762462847E15F10</vt:lpwstr>
  </property>
</Properties>
</file>