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32"/>
          <w:szCs w:val="32"/>
        </w:rPr>
      </w:pPr>
      <w:r>
        <w:rPr>
          <w:rFonts w:hint="eastAsia"/>
          <w:sz w:val="32"/>
          <w:szCs w:val="32"/>
        </w:rPr>
        <w:t xml:space="preserve">附件1： </w:t>
      </w:r>
    </w:p>
    <w:p>
      <w:pPr>
        <w:ind w:firstLine="2880" w:firstLineChars="900"/>
        <w:rPr>
          <w:sz w:val="32"/>
          <w:szCs w:val="32"/>
        </w:rPr>
      </w:pPr>
      <w:r>
        <w:rPr>
          <w:rFonts w:hint="eastAsia"/>
          <w:sz w:val="32"/>
          <w:szCs w:val="32"/>
        </w:rPr>
        <w:t>《</w:t>
      </w:r>
      <w:r>
        <w:rPr>
          <w:rFonts w:hint="eastAsia" w:ascii="仿宋" w:hAnsi="仿宋" w:eastAsia="仿宋"/>
          <w:b/>
          <w:bCs/>
          <w:sz w:val="32"/>
          <w:szCs w:val="32"/>
        </w:rPr>
        <w:t>项目采购</w:t>
      </w:r>
      <w:r>
        <w:rPr>
          <w:rFonts w:hint="eastAsia" w:ascii="仿宋" w:hAnsi="仿宋" w:eastAsia="仿宋"/>
          <w:b/>
          <w:bCs/>
          <w:sz w:val="32"/>
          <w:szCs w:val="32"/>
          <w:lang w:val="en-US" w:eastAsia="zh-CN"/>
        </w:rPr>
        <w:t>需求表</w:t>
      </w:r>
      <w:r>
        <w:rPr>
          <w:rFonts w:hint="eastAsia"/>
          <w:sz w:val="32"/>
          <w:szCs w:val="32"/>
        </w:rPr>
        <w:t>》</w:t>
      </w:r>
    </w:p>
    <w:tbl>
      <w:tblPr>
        <w:tblStyle w:val="4"/>
        <w:tblpPr w:leftFromText="180" w:rightFromText="180" w:vertAnchor="text" w:horzAnchor="page" w:tblpX="1372" w:tblpY="19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851"/>
        <w:gridCol w:w="3119"/>
        <w:gridCol w:w="708"/>
        <w:gridCol w:w="709"/>
        <w:gridCol w:w="113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b/>
              </w:rPr>
            </w:pPr>
            <w:r>
              <w:rPr>
                <w:rFonts w:hint="eastAsia"/>
                <w:b/>
              </w:rPr>
              <w:t>序号</w:t>
            </w:r>
          </w:p>
        </w:tc>
        <w:tc>
          <w:tcPr>
            <w:tcW w:w="1851" w:type="dxa"/>
            <w:vAlign w:val="center"/>
          </w:tcPr>
          <w:p>
            <w:pPr>
              <w:jc w:val="center"/>
              <w:rPr>
                <w:b/>
              </w:rPr>
            </w:pPr>
            <w:r>
              <w:rPr>
                <w:rFonts w:hint="eastAsia"/>
                <w:b/>
              </w:rPr>
              <w:t>货物名称</w:t>
            </w:r>
          </w:p>
        </w:tc>
        <w:tc>
          <w:tcPr>
            <w:tcW w:w="3119" w:type="dxa"/>
            <w:vAlign w:val="center"/>
          </w:tcPr>
          <w:p>
            <w:pPr>
              <w:jc w:val="center"/>
              <w:rPr>
                <w:b/>
              </w:rPr>
            </w:pPr>
            <w:r>
              <w:rPr>
                <w:rFonts w:hint="eastAsia"/>
                <w:b/>
              </w:rPr>
              <w:t>规格型号</w:t>
            </w:r>
          </w:p>
        </w:tc>
        <w:tc>
          <w:tcPr>
            <w:tcW w:w="708" w:type="dxa"/>
            <w:vAlign w:val="center"/>
          </w:tcPr>
          <w:p>
            <w:pPr>
              <w:jc w:val="center"/>
              <w:rPr>
                <w:b/>
              </w:rPr>
            </w:pPr>
            <w:r>
              <w:rPr>
                <w:rFonts w:hint="eastAsia"/>
                <w:b/>
              </w:rPr>
              <w:t>单位</w:t>
            </w:r>
          </w:p>
        </w:tc>
        <w:tc>
          <w:tcPr>
            <w:tcW w:w="709" w:type="dxa"/>
            <w:vAlign w:val="center"/>
          </w:tcPr>
          <w:p>
            <w:pPr>
              <w:jc w:val="center"/>
              <w:rPr>
                <w:b/>
              </w:rPr>
            </w:pPr>
            <w:r>
              <w:rPr>
                <w:rFonts w:hint="eastAsia"/>
                <w:b/>
              </w:rPr>
              <w:t>数量</w:t>
            </w:r>
          </w:p>
        </w:tc>
        <w:tc>
          <w:tcPr>
            <w:tcW w:w="1134" w:type="dxa"/>
            <w:vAlign w:val="center"/>
          </w:tcPr>
          <w:p>
            <w:pPr>
              <w:jc w:val="center"/>
              <w:rPr>
                <w:b/>
              </w:rPr>
            </w:pPr>
            <w:r>
              <w:rPr>
                <w:rFonts w:hint="eastAsia"/>
                <w:b/>
              </w:rPr>
              <w:t>单价（元）</w:t>
            </w:r>
          </w:p>
        </w:tc>
        <w:tc>
          <w:tcPr>
            <w:tcW w:w="1077" w:type="dxa"/>
            <w:vAlign w:val="center"/>
          </w:tcPr>
          <w:p>
            <w:pPr>
              <w:jc w:val="center"/>
              <w:rPr>
                <w:b/>
              </w:rPr>
            </w:pPr>
            <w:r>
              <w:rPr>
                <w:rFonts w:hint="eastAsia"/>
                <w:b/>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widowControl/>
              <w:jc w:val="center"/>
              <w:rPr>
                <w:rFonts w:asciiTheme="minorEastAsia" w:hAnsiTheme="minorEastAsia"/>
                <w:b/>
                <w:bCs/>
                <w:kern w:val="0"/>
                <w:szCs w:val="21"/>
              </w:rPr>
            </w:pPr>
            <w:r>
              <w:rPr>
                <w:rFonts w:hint="eastAsia" w:asciiTheme="minorEastAsia" w:hAnsiTheme="minorEastAsia"/>
                <w:b/>
                <w:bCs/>
                <w:szCs w:val="21"/>
              </w:rPr>
              <w:t>1</w:t>
            </w:r>
          </w:p>
        </w:tc>
        <w:tc>
          <w:tcPr>
            <w:tcW w:w="1851" w:type="dxa"/>
            <w:vAlign w:val="center"/>
          </w:tcPr>
          <w:p>
            <w:pPr>
              <w:widowControl/>
              <w:jc w:val="center"/>
              <w:rPr>
                <w:rFonts w:asciiTheme="minorEastAsia" w:hAnsiTheme="minorEastAsia"/>
                <w:kern w:val="0"/>
                <w:szCs w:val="21"/>
              </w:rPr>
            </w:pPr>
            <w:r>
              <w:rPr>
                <w:rFonts w:hint="eastAsia" w:cs="仿宋" w:asciiTheme="minorEastAsia" w:hAnsiTheme="minorEastAsia"/>
                <w:color w:val="000000"/>
                <w:kern w:val="0"/>
                <w:szCs w:val="21"/>
                <w:lang w:bidi="ar"/>
              </w:rPr>
              <w:t>教学管理软件</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1.教师演示：教师可对单一、部分或全体学生进行屏幕演示，全屏、窗口方式均可。</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2.屏幕笔：教师教学使用的辅助工具，突出显示项目、添加注释，添加批注等等。</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3.视频广播或者网络影院：采用流媒体技术，实现播放的视频同步广播到学生机，且达到流畅无延时，支持几乎所有常见的媒体音视频格式， Windows Media文件，VCD文件，DVD文件，Real文件，AVI文件，MP3等主流文件格式</w:t>
            </w:r>
            <w:bookmarkStart w:id="0" w:name="_GoBack"/>
            <w:bookmarkEnd w:id="0"/>
            <w:r>
              <w:rPr>
                <w:rFonts w:cs="Times New Roman" w:asciiTheme="minorEastAsia" w:hAnsiTheme="minorEastAsia"/>
                <w:color w:val="000000"/>
                <w:kern w:val="0"/>
                <w:szCs w:val="21"/>
                <w:lang w:bidi="ar"/>
              </w:rPr>
              <w:t>，支持720p、1080p的高清视频。</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4.视频直播：通过USB摄像头将教师的画面实时广播到学生机，达到更形象的教学效果。</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5.分组管理：教师可以新建，删除，重命名分组，添加和删除分组中的成员，设置小组长。</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6.分组教学与讨论：支持教师对学生进行分组，通过分组进行教学和小组讨论，提高教学效率，增强学生互动能力。</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7.语音广播：将教师机麦克风或其他输入设备（如磁带、CD）的声音广播给学生。</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8.语音对讲：教师可以选择任意一名已登录学生与其进行双向语音交谈，除教师和此学生外，其他学生不会受到干扰，可以动态切换对讲对象。</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9.文件分发：允许教师将教师机不同盘符中的目录或文件一起发送至生机的某目录下。目录不存在自动新建此目录；盘符不存在或路径非法不允许分发；文件已存在选择自动覆盖或保留原始文件。</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10.作业提交：学生把做好的作业直接提交到教师机，教师可以选择接收和拒绝学生提交的文件。</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11.上网限制与程序限制：通过各种策略的应用，设定受客户端不能连接互联网和不能使用指定程序。</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12.屏幕录制：教师机可以将本地的操作和讲解过程录制为ASF录像文件，可以用 Windows 自带的 Media Player 直接播放。</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13.学生端屏幕录制、回放：学生端接收教师端广播的时候可以自动录制教师机广播教学的过程，课后可以重复观看学习。</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14.网络快照：教师可以在监控学生的时候，对学生画面拍快照，保存学生画面的截图。</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15.频道教学：支持多达32个频道的划分，一个教师可对单个班级或多个班级同时上课；多个教师可同时对多个班级进行不同内容的教学。</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16.支持教师端远程开机，关机，重启，全体黑屏等操作。</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17.随堂小考：教师启动快速的单题考试或随堂调查，限定考试时间，学生答题后立即给出结果，结果显示学生答案柱状图分析和答题时间，可作为抢答依据。</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18.签到：提供学生名单管理工具，为软件和考试模块提供实名验证。</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19.班级模型：有单独的管理界面，实现对班级模型的统一管理，并能够导入、导出，调用不同网络教室中的班级模型。</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20.学生端属性查看：教师可以获取学生端计算机的名称、登录名和其它常用信息，并可以列出学生端的应用程序、进程和进程 ID，教师还可以远程终止学生端的进程。</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21.系统日志：显示和自动保存系统运行过程中的关键事件，包括学生登录登出，资源不足，提交文件等。</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22.自动锁屏：独有的断线保护自动锁屏技术，通过网卡的是否激活来锁定屏幕，避免学生拔掉网线违反纪律。</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23.防杀进程：为安全起见，学生端程序运行后，防止学生通过任务管理器结束学生端程序进程来逃脱教师控制。</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24.请求帮助：学生端遇到问题可请求帮助，教师端可远程遥控帮助学生解决问题。</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25.远程设置：远程设置学生桌面主题、桌面背景、屏幕保护方案、学生的频道号和音量、学生的卸载密码，是否启用进程保护，断线锁屏，热键退出等。</w:t>
            </w:r>
            <w:r>
              <w:rPr>
                <w:rFonts w:cs="Times New Roman"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w:t>
            </w:r>
            <w:r>
              <w:rPr>
                <w:rFonts w:cs="Times New Roman" w:asciiTheme="minorEastAsia" w:hAnsiTheme="minorEastAsia"/>
                <w:color w:val="000000"/>
                <w:kern w:val="0"/>
                <w:szCs w:val="21"/>
                <w:lang w:bidi="ar"/>
              </w:rPr>
              <w:t>26.其他要求：</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（1）每套软件必须支持≥50个客户端同时在线</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（2）为保证兼容性及统一的售后服务，要求与台式计算机同品牌，原厂三年极速响应服务，提供第二自然日快速修复服务，提供7*24小时电话支持服务。</w:t>
            </w:r>
          </w:p>
        </w:tc>
        <w:tc>
          <w:tcPr>
            <w:tcW w:w="708" w:type="dxa"/>
            <w:vAlign w:val="center"/>
          </w:tcPr>
          <w:p>
            <w:pPr>
              <w:jc w:val="center"/>
              <w:rPr>
                <w:rFonts w:cs="宋体" w:asciiTheme="minorEastAsia" w:hAnsiTheme="minorEastAsia"/>
                <w:szCs w:val="21"/>
              </w:rPr>
            </w:pPr>
            <w:r>
              <w:rPr>
                <w:rFonts w:hint="eastAsia" w:asciiTheme="minorEastAsia" w:hAnsiTheme="minorEastAsia"/>
                <w:szCs w:val="21"/>
              </w:rPr>
              <w:t>套</w:t>
            </w:r>
          </w:p>
        </w:tc>
        <w:tc>
          <w:tcPr>
            <w:tcW w:w="709" w:type="dxa"/>
            <w:vAlign w:val="center"/>
          </w:tcPr>
          <w:p>
            <w:pPr>
              <w:jc w:val="center"/>
              <w:rPr>
                <w:rFonts w:asciiTheme="minorEastAsia" w:hAnsiTheme="minorEastAsia"/>
                <w:szCs w:val="21"/>
              </w:rPr>
            </w:pPr>
            <w:r>
              <w:rPr>
                <w:rFonts w:hint="eastAsia" w:asciiTheme="minorEastAsia" w:hAnsiTheme="minorEastAsia"/>
                <w:szCs w:val="21"/>
              </w:rPr>
              <w:t>4</w:t>
            </w:r>
          </w:p>
        </w:tc>
        <w:tc>
          <w:tcPr>
            <w:tcW w:w="1134" w:type="dxa"/>
            <w:vAlign w:val="center"/>
          </w:tcPr>
          <w:p>
            <w:pPr>
              <w:widowControl/>
              <w:jc w:val="center"/>
              <w:rPr>
                <w:rFonts w:cs="Calibri" w:asciiTheme="minorEastAsia" w:hAnsiTheme="minorEastAsia"/>
                <w:color w:val="000000"/>
                <w:kern w:val="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2</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功放</w:t>
            </w:r>
          </w:p>
        </w:tc>
        <w:tc>
          <w:tcPr>
            <w:tcW w:w="3119" w:type="dxa"/>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1、≥2路AUX输入，≥3路MIC输入，≥1路AUX输出；MIC1优先功能；</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2、70V~100V定压输出和4~16欧定阻输出；</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3、功率：≥250W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4、各输入通道独立音量控制，音乐高低音控制；</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5、智能短路过热保护</w:t>
            </w:r>
          </w:p>
        </w:tc>
        <w:tc>
          <w:tcPr>
            <w:tcW w:w="708" w:type="dxa"/>
            <w:vAlign w:val="center"/>
          </w:tcPr>
          <w:p>
            <w:pPr>
              <w:jc w:val="center"/>
              <w:rPr>
                <w:rFonts w:cs="宋体" w:asciiTheme="minorEastAsia" w:hAnsiTheme="minorEastAsia"/>
                <w:szCs w:val="21"/>
              </w:rPr>
            </w:pPr>
            <w:r>
              <w:rPr>
                <w:rFonts w:hint="eastAsia" w:asciiTheme="minorEastAsia" w:hAnsiTheme="minorEastAsia"/>
                <w:szCs w:val="21"/>
              </w:rPr>
              <w:t>台</w:t>
            </w:r>
          </w:p>
        </w:tc>
        <w:tc>
          <w:tcPr>
            <w:tcW w:w="709" w:type="dxa"/>
            <w:vAlign w:val="center"/>
          </w:tcPr>
          <w:p>
            <w:pPr>
              <w:jc w:val="center"/>
              <w:rPr>
                <w:rFonts w:asciiTheme="minorEastAsia" w:hAnsiTheme="minorEastAsia"/>
                <w:szCs w:val="21"/>
              </w:rPr>
            </w:pPr>
            <w:r>
              <w:rPr>
                <w:rFonts w:hint="eastAsia" w:asciiTheme="minorEastAsia" w:hAnsiTheme="minorEastAsia"/>
                <w:szCs w:val="21"/>
              </w:rPr>
              <w:t>4</w:t>
            </w:r>
          </w:p>
        </w:tc>
        <w:tc>
          <w:tcPr>
            <w:tcW w:w="1134" w:type="dxa"/>
            <w:vAlign w:val="center"/>
          </w:tcPr>
          <w:p>
            <w:pPr>
              <w:jc w:val="center"/>
              <w:rPr>
                <w:rFonts w:cs="Calibri"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3</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音响</w:t>
            </w:r>
          </w:p>
        </w:tc>
        <w:tc>
          <w:tcPr>
            <w:tcW w:w="3119" w:type="dxa"/>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 xml:space="preserve">1、功率：≥60W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2、定压输入：70V-100V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3、灵敏度：96dB±2dB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4、频率响应：140HZ-13KHz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5、材质：铝镁合金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6、喇叭配置：6"*3+2.5"*1</w:t>
            </w:r>
            <w:r>
              <w:rPr>
                <w:rFonts w:cs="Times New Roman" w:asciiTheme="minorEastAsia" w:hAnsiTheme="minorEastAsia"/>
                <w:szCs w:val="21"/>
              </w:rPr>
              <w:t xml:space="preserve">3. </w:t>
            </w:r>
          </w:p>
        </w:tc>
        <w:tc>
          <w:tcPr>
            <w:tcW w:w="708" w:type="dxa"/>
            <w:vAlign w:val="center"/>
          </w:tcPr>
          <w:p>
            <w:pPr>
              <w:jc w:val="center"/>
              <w:rPr>
                <w:rFonts w:cs="宋体" w:asciiTheme="minorEastAsia" w:hAnsiTheme="minorEastAsia"/>
                <w:szCs w:val="21"/>
              </w:rPr>
            </w:pPr>
            <w:r>
              <w:rPr>
                <w:rFonts w:cs="宋体" w:asciiTheme="minorEastAsia" w:hAnsiTheme="minorEastAsia"/>
                <w:szCs w:val="21"/>
              </w:rPr>
              <w:t>对</w:t>
            </w:r>
          </w:p>
        </w:tc>
        <w:tc>
          <w:tcPr>
            <w:tcW w:w="709" w:type="dxa"/>
            <w:vAlign w:val="center"/>
          </w:tcPr>
          <w:p>
            <w:pPr>
              <w:jc w:val="center"/>
              <w:rPr>
                <w:rFonts w:asciiTheme="minorEastAsia" w:hAnsiTheme="minorEastAsia"/>
                <w:szCs w:val="21"/>
              </w:rPr>
            </w:pPr>
            <w:r>
              <w:rPr>
                <w:rFonts w:hint="eastAsia" w:asciiTheme="minorEastAsia" w:hAnsiTheme="minorEastAsia"/>
                <w:szCs w:val="21"/>
              </w:rPr>
              <w:t>4</w:t>
            </w:r>
          </w:p>
        </w:tc>
        <w:tc>
          <w:tcPr>
            <w:tcW w:w="1134" w:type="dxa"/>
            <w:vAlign w:val="center"/>
          </w:tcPr>
          <w:p>
            <w:pPr>
              <w:jc w:val="center"/>
              <w:rPr>
                <w:rFonts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4</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有线话筒</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1、换能方式：电容式</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2、频率响应：40Hz-18kHz</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3、指向性：单指向性</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4、输出阻抗（欧姆）：75Ω</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5、灵敏度：-45dB</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6、最高输入音量：128dB 声压</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7、动态范围：109 dB，1KHz</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8、讯噪比：75 dB</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9、供电电压：幻象48V（幻象指既传输电流，也传输声音）</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10、咪管长度：300mm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11、铁座、抗手机、电磁、高频干扰</w:t>
            </w:r>
          </w:p>
        </w:tc>
        <w:tc>
          <w:tcPr>
            <w:tcW w:w="708" w:type="dxa"/>
            <w:vAlign w:val="center"/>
          </w:tcPr>
          <w:p>
            <w:pPr>
              <w:jc w:val="center"/>
              <w:rPr>
                <w:rFonts w:asciiTheme="minorEastAsia" w:hAnsiTheme="minorEastAsia"/>
                <w:szCs w:val="21"/>
              </w:rPr>
            </w:pPr>
            <w:r>
              <w:rPr>
                <w:rFonts w:asciiTheme="minorEastAsia" w:hAnsiTheme="minorEastAsia"/>
                <w:szCs w:val="21"/>
              </w:rPr>
              <w:t>台</w:t>
            </w:r>
          </w:p>
        </w:tc>
        <w:tc>
          <w:tcPr>
            <w:tcW w:w="709" w:type="dxa"/>
            <w:vAlign w:val="center"/>
          </w:tcPr>
          <w:p>
            <w:pPr>
              <w:jc w:val="center"/>
              <w:rPr>
                <w:rFonts w:asciiTheme="minorEastAsia" w:hAnsiTheme="minorEastAsia"/>
                <w:szCs w:val="21"/>
              </w:rPr>
            </w:pPr>
            <w:r>
              <w:rPr>
                <w:rFonts w:hint="eastAsia" w:asciiTheme="minorEastAsia" w:hAnsiTheme="minorEastAsia"/>
                <w:szCs w:val="21"/>
              </w:rPr>
              <w:t>4</w:t>
            </w:r>
          </w:p>
        </w:tc>
        <w:tc>
          <w:tcPr>
            <w:tcW w:w="1134" w:type="dxa"/>
            <w:vAlign w:val="center"/>
          </w:tcPr>
          <w:p>
            <w:pPr>
              <w:jc w:val="center"/>
              <w:rPr>
                <w:rFonts w:cs="Calibri"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5</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千兆交换机</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1、交换容量≥256Gbps</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2、包转发率≥50Mpps</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3、端口要求：≥24个千兆电口，≥4个千兆SFP</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4、二层功能:支持MAC地址≥16K、支持ARP表项≥4K、支持4K个VLAN</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5、三层功能：支持RIP、RIPng、路由协议、支持IPv4 FIB表项≥4K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6、组播：支持IGMP v1/v2/v3 Snooping、支持VLAN内组播转发和组播多VLAN复制、支持捆绑端口的组播负载分担</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7、安全：支持防止DOS、ARP攻击功能、ICMP防攻击；支持端口隔离、端口安全、Sticky MAC；支持 IP、MAC、端口、VLAN的组合绑定；支持CPU保护功能；支持DHCP Snooping、DHCPv6 Snooping功能</w:t>
            </w:r>
          </w:p>
        </w:tc>
        <w:tc>
          <w:tcPr>
            <w:tcW w:w="708" w:type="dxa"/>
            <w:vAlign w:val="center"/>
          </w:tcPr>
          <w:p>
            <w:pPr>
              <w:jc w:val="center"/>
              <w:rPr>
                <w:rFonts w:asciiTheme="minorEastAsia" w:hAnsiTheme="minorEastAsia"/>
                <w:szCs w:val="21"/>
              </w:rPr>
            </w:pPr>
            <w:r>
              <w:rPr>
                <w:rFonts w:asciiTheme="minorEastAsia" w:hAnsiTheme="minorEastAsia"/>
                <w:szCs w:val="21"/>
              </w:rPr>
              <w:t>台</w:t>
            </w:r>
          </w:p>
        </w:tc>
        <w:tc>
          <w:tcPr>
            <w:tcW w:w="709" w:type="dxa"/>
            <w:vAlign w:val="center"/>
          </w:tcPr>
          <w:p>
            <w:pPr>
              <w:jc w:val="center"/>
              <w:rPr>
                <w:rFonts w:asciiTheme="minorEastAsia" w:hAnsiTheme="minorEastAsia"/>
                <w:szCs w:val="21"/>
              </w:rPr>
            </w:pPr>
            <w:r>
              <w:rPr>
                <w:rFonts w:hint="eastAsia" w:asciiTheme="minorEastAsia" w:hAnsiTheme="minorEastAsia"/>
                <w:szCs w:val="21"/>
              </w:rPr>
              <w:t>12</w:t>
            </w:r>
          </w:p>
        </w:tc>
        <w:tc>
          <w:tcPr>
            <w:tcW w:w="1134" w:type="dxa"/>
            <w:vAlign w:val="center"/>
          </w:tcPr>
          <w:p>
            <w:pPr>
              <w:jc w:val="center"/>
              <w:rPr>
                <w:rFonts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6</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六类网线</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每箱网线长度：≥300米</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电缆外径：≥6.2±0.3mm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护套厚度：≥0.55±0.05mm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导体材质：无氧圆铜</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导体直径：23AWG</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导体绝缘外径：≥1.04±0.05mm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带撕裂绳</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芯数：4对8芯</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单根导体最大电阻≤7.5Ω/100m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特性阻抗 100±15Ω</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绝缘电阻 ≥5000MΩ/km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 xml:space="preserve">线对直流电阻不平衡 ≤2.5% </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工作电容 ≤5.6nF/100m</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烟密度，最小透光率（IEC 61034-2)：≥50%</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卤酸气体总量（IEC 60754-1)：≤5mg/g</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护套PH值（IEC 60754-2)：≥4.3</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护套电导率（IEC 60754-2）：≤10μs/mm</w:t>
            </w:r>
          </w:p>
        </w:tc>
        <w:tc>
          <w:tcPr>
            <w:tcW w:w="708" w:type="dxa"/>
            <w:vAlign w:val="center"/>
          </w:tcPr>
          <w:p>
            <w:pPr>
              <w:jc w:val="center"/>
              <w:rPr>
                <w:rFonts w:cs="宋体" w:asciiTheme="minorEastAsia" w:hAnsiTheme="minorEastAsia"/>
                <w:szCs w:val="21"/>
              </w:rPr>
            </w:pPr>
            <w:r>
              <w:rPr>
                <w:rFonts w:cs="宋体" w:asciiTheme="minorEastAsia" w:hAnsiTheme="minorEastAsia"/>
                <w:szCs w:val="21"/>
              </w:rPr>
              <w:t>箱</w:t>
            </w:r>
          </w:p>
        </w:tc>
        <w:tc>
          <w:tcPr>
            <w:tcW w:w="709" w:type="dxa"/>
            <w:vAlign w:val="center"/>
          </w:tcPr>
          <w:p>
            <w:pPr>
              <w:jc w:val="center"/>
              <w:rPr>
                <w:rFonts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0</w:t>
            </w:r>
          </w:p>
        </w:tc>
        <w:tc>
          <w:tcPr>
            <w:tcW w:w="1134" w:type="dxa"/>
            <w:vAlign w:val="center"/>
          </w:tcPr>
          <w:p>
            <w:pPr>
              <w:jc w:val="center"/>
              <w:rPr>
                <w:rFonts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7</w:t>
            </w:r>
          </w:p>
        </w:tc>
        <w:tc>
          <w:tcPr>
            <w:tcW w:w="1851" w:type="dxa"/>
            <w:vAlign w:val="center"/>
          </w:tcPr>
          <w:p>
            <w:pPr>
              <w:jc w:val="center"/>
              <w:rPr>
                <w:rFonts w:asciiTheme="minorEastAsia" w:hAnsiTheme="minorEastAsia"/>
                <w:szCs w:val="21"/>
              </w:rPr>
            </w:pPr>
            <w:r>
              <w:rPr>
                <w:rFonts w:hint="eastAsia" w:cs="仿宋" w:asciiTheme="minorEastAsia" w:hAnsiTheme="minorEastAsia"/>
                <w:color w:val="000000"/>
                <w:kern w:val="0"/>
                <w:szCs w:val="21"/>
                <w:lang w:bidi="ar"/>
              </w:rPr>
              <w:t>管材</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满足教室综合布线使用的24#、39#、59#等规格PVC线槽或线管</w:t>
            </w:r>
          </w:p>
        </w:tc>
        <w:tc>
          <w:tcPr>
            <w:tcW w:w="708" w:type="dxa"/>
            <w:vAlign w:val="center"/>
          </w:tcPr>
          <w:p>
            <w:pPr>
              <w:jc w:val="center"/>
              <w:rPr>
                <w:rFonts w:cs="宋体" w:asciiTheme="minorEastAsia" w:hAnsiTheme="minorEastAsia"/>
                <w:szCs w:val="21"/>
              </w:rPr>
            </w:pPr>
            <w:r>
              <w:rPr>
                <w:rFonts w:cs="宋体" w:asciiTheme="minorEastAsia" w:hAnsiTheme="minorEastAsia"/>
                <w:szCs w:val="21"/>
              </w:rPr>
              <w:t>米</w:t>
            </w:r>
          </w:p>
        </w:tc>
        <w:tc>
          <w:tcPr>
            <w:tcW w:w="709" w:type="dxa"/>
            <w:vAlign w:val="center"/>
          </w:tcPr>
          <w:p>
            <w:pPr>
              <w:jc w:val="center"/>
              <w:rPr>
                <w:rFonts w:asciiTheme="minorEastAsia" w:hAnsiTheme="minorEastAsia"/>
                <w:szCs w:val="21"/>
              </w:rPr>
            </w:pPr>
            <w:r>
              <w:rPr>
                <w:rFonts w:hint="eastAsia" w:asciiTheme="minorEastAsia" w:hAnsiTheme="minorEastAsia"/>
                <w:szCs w:val="21"/>
              </w:rPr>
              <w:t>2400</w:t>
            </w:r>
          </w:p>
        </w:tc>
        <w:tc>
          <w:tcPr>
            <w:tcW w:w="1134" w:type="dxa"/>
            <w:vAlign w:val="center"/>
          </w:tcPr>
          <w:p>
            <w:pPr>
              <w:jc w:val="center"/>
              <w:rPr>
                <w:rFonts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vAlign w:val="center"/>
          </w:tcPr>
          <w:p>
            <w:pPr>
              <w:jc w:val="center"/>
              <w:rPr>
                <w:rFonts w:asciiTheme="minorEastAsia" w:hAnsiTheme="minorEastAsia"/>
                <w:b/>
                <w:bCs/>
                <w:szCs w:val="21"/>
              </w:rPr>
            </w:pPr>
            <w:r>
              <w:rPr>
                <w:rFonts w:hint="eastAsia" w:asciiTheme="minorEastAsia" w:hAnsiTheme="minorEastAsia"/>
                <w:b/>
                <w:bCs/>
                <w:szCs w:val="21"/>
              </w:rPr>
              <w:t>8</w:t>
            </w:r>
          </w:p>
        </w:tc>
        <w:tc>
          <w:tcPr>
            <w:tcW w:w="1851" w:type="dxa"/>
            <w:vAlign w:val="center"/>
          </w:tcPr>
          <w:p>
            <w:pPr>
              <w:jc w:val="center"/>
              <w:rPr>
                <w:rFonts w:cs="宋体" w:asciiTheme="minorEastAsia" w:hAnsiTheme="minorEastAsia"/>
                <w:szCs w:val="21"/>
              </w:rPr>
            </w:pPr>
            <w:r>
              <w:rPr>
                <w:rFonts w:hint="eastAsia" w:cs="仿宋" w:asciiTheme="minorEastAsia" w:hAnsiTheme="minorEastAsia"/>
                <w:color w:val="000000"/>
                <w:kern w:val="0"/>
                <w:szCs w:val="21"/>
                <w:lang w:bidi="ar"/>
              </w:rPr>
              <w:t>综合布线</w:t>
            </w:r>
          </w:p>
        </w:tc>
        <w:tc>
          <w:tcPr>
            <w:tcW w:w="3119" w:type="dxa"/>
            <w:vAlign w:val="center"/>
          </w:tcPr>
          <w:p>
            <w:pPr>
              <w:jc w:val="left"/>
              <w:rPr>
                <w:rFonts w:cs="Times New Roman" w:asciiTheme="minorEastAsia" w:hAnsiTheme="minorEastAsia"/>
                <w:szCs w:val="21"/>
              </w:rPr>
            </w:pPr>
            <w:r>
              <w:rPr>
                <w:rFonts w:cs="Times New Roman" w:asciiTheme="minorEastAsia" w:hAnsiTheme="minorEastAsia"/>
                <w:color w:val="000000"/>
                <w:kern w:val="0"/>
                <w:szCs w:val="21"/>
                <w:lang w:bidi="ar"/>
              </w:rPr>
              <w:t>台式计算机设备使用的网络、电源布线，根据现场情况，对教室进行合理规划的综合布线，本项包含除网线、管材外的布线材料（RJ45水晶头、电源线、电源插座、电源开关箱、空气开关等一切满足设备正常使用所需的材料）</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1、网络布线要求：严格按照国际标准进行布线。从机柜到计算机所在位置，所有网线必须布设至PVC线槽或线管内，线缆不得外露，网线与电源线采用强弱电隔离，避免信号干扰。机柜内走线整齐，水晶头制作标准，每根网线必须有清晰的标签，方便进行线缆维护。</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2、电源线布线要求：严格按照国际标准进行布线。电源由电源开关箱统一管理，并可分开多组进行控制，使用电源线缆规格必须保证功率满足使用并有30%以上的冗余，桌面电源插座有足够的接口供台式计算机使用。</w:t>
            </w:r>
          </w:p>
        </w:tc>
        <w:tc>
          <w:tcPr>
            <w:tcW w:w="708" w:type="dxa"/>
            <w:vAlign w:val="center"/>
          </w:tcPr>
          <w:p>
            <w:pPr>
              <w:jc w:val="center"/>
              <w:rPr>
                <w:rFonts w:cs="宋体" w:asciiTheme="minorEastAsia" w:hAnsiTheme="minorEastAsia"/>
                <w:szCs w:val="21"/>
              </w:rPr>
            </w:pPr>
            <w:r>
              <w:rPr>
                <w:rFonts w:cs="宋体" w:asciiTheme="minorEastAsia" w:hAnsiTheme="minorEastAsia"/>
                <w:szCs w:val="21"/>
              </w:rPr>
              <w:t>信息点</w:t>
            </w:r>
          </w:p>
        </w:tc>
        <w:tc>
          <w:tcPr>
            <w:tcW w:w="709" w:type="dxa"/>
            <w:vAlign w:val="center"/>
          </w:tcPr>
          <w:p>
            <w:pPr>
              <w:jc w:val="center"/>
              <w:rPr>
                <w:rFonts w:asciiTheme="minorEastAsia" w:hAnsiTheme="minorEastAsia"/>
                <w:szCs w:val="21"/>
              </w:rPr>
            </w:pPr>
            <w:r>
              <w:rPr>
                <w:rFonts w:hint="eastAsia" w:asciiTheme="minorEastAsia" w:hAnsiTheme="minorEastAsia"/>
                <w:szCs w:val="21"/>
              </w:rPr>
              <w:t>498</w:t>
            </w:r>
          </w:p>
        </w:tc>
        <w:tc>
          <w:tcPr>
            <w:tcW w:w="1134" w:type="dxa"/>
            <w:vAlign w:val="center"/>
          </w:tcPr>
          <w:p>
            <w:pPr>
              <w:jc w:val="center"/>
              <w:rPr>
                <w:rFonts w:asciiTheme="minorEastAsia" w:hAnsiTheme="minorEastAsia"/>
                <w:color w:val="000000"/>
                <w:szCs w:val="21"/>
              </w:rPr>
            </w:pPr>
          </w:p>
        </w:tc>
        <w:tc>
          <w:tcPr>
            <w:tcW w:w="1077" w:type="dxa"/>
            <w:vAlign w:val="center"/>
          </w:tcPr>
          <w:p>
            <w:pPr>
              <w:jc w:val="center"/>
              <w:rPr>
                <w:rFonts w:cs="Calibri" w:asciiTheme="minorEastAsia" w:hAnsiTheme="minorEastAsia"/>
                <w:color w:val="000000"/>
                <w:szCs w:val="21"/>
              </w:rPr>
            </w:pP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82C34"/>
    <w:rsid w:val="11D267CD"/>
    <w:rsid w:val="44ED0533"/>
    <w:rsid w:val="6B08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2021-07-01T06:55:00Z</dcterms:created>
  <dc:creator>李克元</dc:creator>
  <cp:lastModifiedBy>李克元</cp:lastModifiedBy>
  <dcterms:modified xsi:type="dcterms:W3CDTF">2021-07-05T09:05:08Z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92653C1456874C0581AAC3AE7A2036F6</vt:lpwstr>
  </property>
</Properties>
</file>