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b/>
          <w:bCs/>
          <w:sz w:val="32"/>
          <w:szCs w:val="32"/>
        </w:rPr>
      </w:pPr>
    </w:p>
    <w:p>
      <w:pPr>
        <w:snapToGrid w:val="0"/>
        <w:spacing w:line="400" w:lineRule="exact"/>
        <w:jc w:val="center"/>
        <w:rPr>
          <w:rFonts w:hint="eastAsia" w:ascii="宋体" w:hAnsi="宋体"/>
          <w:b/>
          <w:bCs/>
          <w:sz w:val="32"/>
          <w:szCs w:val="32"/>
        </w:rPr>
      </w:pPr>
      <w:r>
        <w:rPr>
          <w:rFonts w:hint="eastAsia" w:ascii="宋体" w:hAnsi="宋体"/>
          <w:b/>
          <w:bCs/>
          <w:sz w:val="32"/>
          <w:szCs w:val="32"/>
        </w:rPr>
        <w:t>《广西壮族自治区政府采购合同》</w:t>
      </w:r>
    </w:p>
    <w:p>
      <w:pPr>
        <w:snapToGrid w:val="0"/>
        <w:spacing w:line="400" w:lineRule="exact"/>
        <w:ind w:right="480" w:firstLine="5250" w:firstLineChars="2500"/>
        <w:rPr>
          <w:rFonts w:hint="eastAsia" w:ascii="宋体" w:hAnsi="宋体"/>
          <w:bCs/>
          <w:szCs w:val="21"/>
        </w:rPr>
      </w:pPr>
    </w:p>
    <w:p>
      <w:pPr>
        <w:snapToGrid w:val="0"/>
        <w:spacing w:line="400" w:lineRule="exact"/>
        <w:ind w:right="480" w:firstLine="5250" w:firstLineChars="2500"/>
        <w:rPr>
          <w:rFonts w:hint="eastAsia" w:ascii="宋体" w:hAnsi="宋体"/>
          <w:bCs/>
          <w:szCs w:val="21"/>
          <w:u w:val="single"/>
        </w:rPr>
      </w:pPr>
      <w:r>
        <w:rPr>
          <w:rFonts w:hint="eastAsia" w:ascii="宋体" w:hAnsi="宋体"/>
          <w:bCs/>
          <w:szCs w:val="21"/>
        </w:rPr>
        <w:t>合同编号：</w:t>
      </w:r>
    </w:p>
    <w:p>
      <w:pPr>
        <w:snapToGrid w:val="0"/>
        <w:spacing w:line="400" w:lineRule="exact"/>
        <w:rPr>
          <w:rFonts w:hint="eastAsia" w:ascii="宋体" w:hAnsi="宋体"/>
          <w:szCs w:val="21"/>
        </w:rPr>
      </w:pPr>
    </w:p>
    <w:p>
      <w:pPr>
        <w:snapToGrid w:val="0"/>
        <w:spacing w:line="40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招  标  编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hint="eastAsia"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ascii="宋体" w:hAnsi="宋体"/>
          <w:szCs w:val="21"/>
        </w:rPr>
      </w:pPr>
      <w:r>
        <w:rPr>
          <w:rFonts w:hint="eastAsia" w:ascii="宋体" w:hAnsi="宋体"/>
          <w:szCs w:val="21"/>
        </w:rPr>
        <w:t>1、供货一览表</w:t>
      </w:r>
    </w:p>
    <w:tbl>
      <w:tblPr>
        <w:tblStyle w:val="10"/>
        <w:tblW w:w="83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908"/>
        <w:gridCol w:w="668"/>
        <w:gridCol w:w="94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820"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序号</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产品名称</w:t>
            </w:r>
          </w:p>
        </w:tc>
        <w:tc>
          <w:tcPr>
            <w:tcW w:w="1059" w:type="dxa"/>
            <w:noWrap w:val="0"/>
            <w:vAlign w:val="center"/>
          </w:tcPr>
          <w:p>
            <w:pPr>
              <w:snapToGrid w:val="0"/>
              <w:spacing w:line="400" w:lineRule="exact"/>
              <w:jc w:val="center"/>
              <w:rPr>
                <w:rFonts w:hint="eastAsia" w:ascii="宋体" w:hAnsi="宋体"/>
                <w:szCs w:val="21"/>
              </w:rPr>
            </w:pPr>
            <w:r>
              <w:rPr>
                <w:rFonts w:hint="eastAsia" w:ascii="宋体" w:hAnsi="宋体"/>
                <w:szCs w:val="21"/>
              </w:rPr>
              <w:t>商标品牌</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规格型号</w:t>
            </w:r>
          </w:p>
        </w:tc>
        <w:tc>
          <w:tcPr>
            <w:tcW w:w="908" w:type="dxa"/>
            <w:noWrap w:val="0"/>
            <w:vAlign w:val="center"/>
          </w:tcPr>
          <w:p>
            <w:pPr>
              <w:snapToGrid w:val="0"/>
              <w:spacing w:line="400" w:lineRule="exact"/>
              <w:jc w:val="center"/>
              <w:rPr>
                <w:rFonts w:hint="eastAsia" w:ascii="宋体" w:hAnsi="宋体"/>
                <w:szCs w:val="21"/>
              </w:rPr>
            </w:pPr>
            <w:r>
              <w:rPr>
                <w:rFonts w:hint="eastAsia" w:ascii="宋体" w:hAnsi="宋体"/>
                <w:szCs w:val="21"/>
              </w:rPr>
              <w:t>数  量</w:t>
            </w:r>
          </w:p>
        </w:tc>
        <w:tc>
          <w:tcPr>
            <w:tcW w:w="668" w:type="dxa"/>
            <w:noWrap w:val="0"/>
            <w:vAlign w:val="center"/>
          </w:tcPr>
          <w:p>
            <w:pPr>
              <w:snapToGrid w:val="0"/>
              <w:spacing w:line="400" w:lineRule="exact"/>
              <w:jc w:val="center"/>
              <w:rPr>
                <w:rFonts w:hint="eastAsia" w:ascii="宋体" w:hAnsi="宋体"/>
                <w:szCs w:val="21"/>
              </w:rPr>
            </w:pPr>
            <w:r>
              <w:rPr>
                <w:rFonts w:hint="eastAsia" w:ascii="宋体" w:hAnsi="宋体"/>
                <w:szCs w:val="21"/>
              </w:rPr>
              <w:t>单位</w:t>
            </w:r>
          </w:p>
        </w:tc>
        <w:tc>
          <w:tcPr>
            <w:tcW w:w="947" w:type="dxa"/>
            <w:noWrap w:val="0"/>
            <w:vAlign w:val="center"/>
          </w:tcPr>
          <w:p>
            <w:pPr>
              <w:snapToGrid w:val="0"/>
              <w:spacing w:line="400" w:lineRule="exact"/>
              <w:jc w:val="center"/>
              <w:rPr>
                <w:rFonts w:hint="eastAsia" w:ascii="宋体" w:hAnsi="宋体"/>
                <w:szCs w:val="21"/>
              </w:rPr>
            </w:pPr>
            <w:r>
              <w:rPr>
                <w:rFonts w:hint="eastAsia" w:ascii="宋体" w:hAnsi="宋体"/>
                <w:szCs w:val="21"/>
              </w:rPr>
              <w:t>单  价</w:t>
            </w:r>
          </w:p>
          <w:p>
            <w:pPr>
              <w:snapToGrid w:val="0"/>
              <w:spacing w:line="400" w:lineRule="exact"/>
              <w:jc w:val="center"/>
              <w:rPr>
                <w:rFonts w:hint="eastAsia" w:ascii="宋体" w:hAnsi="宋体"/>
                <w:szCs w:val="21"/>
              </w:rPr>
            </w:pPr>
            <w:r>
              <w:rPr>
                <w:rFonts w:hint="eastAsia" w:ascii="宋体" w:hAnsi="宋体"/>
                <w:szCs w:val="21"/>
              </w:rPr>
              <w:t>（元）</w:t>
            </w:r>
          </w:p>
        </w:tc>
        <w:tc>
          <w:tcPr>
            <w:tcW w:w="1573" w:type="dxa"/>
            <w:noWrap w:val="0"/>
            <w:vAlign w:val="center"/>
          </w:tcPr>
          <w:p>
            <w:pPr>
              <w:snapToGrid w:val="0"/>
              <w:spacing w:line="400" w:lineRule="exact"/>
              <w:jc w:val="center"/>
              <w:rPr>
                <w:rFonts w:hint="eastAsia" w:ascii="宋体" w:hAnsi="宋体"/>
                <w:szCs w:val="21"/>
              </w:rPr>
            </w:pPr>
            <w:r>
              <w:rPr>
                <w:rFonts w:hint="eastAsia" w:ascii="宋体" w:hAnsi="宋体"/>
                <w:szCs w:val="21"/>
              </w:rPr>
              <w:t>金  额</w:t>
            </w:r>
          </w:p>
          <w:p>
            <w:pPr>
              <w:snapToGrid w:val="0"/>
              <w:spacing w:line="400" w:lineRule="exact"/>
              <w:jc w:val="center"/>
              <w:rPr>
                <w:rFonts w:hint="eastAsia"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1</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2</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3</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330" w:type="dxa"/>
            <w:gridSpan w:val="8"/>
            <w:noWrap w:val="0"/>
            <w:vAlign w:val="center"/>
          </w:tcPr>
          <w:p>
            <w:pPr>
              <w:snapToGrid w:val="0"/>
              <w:spacing w:line="400" w:lineRule="exact"/>
              <w:rPr>
                <w:rFonts w:hint="eastAsia" w:ascii="宋体" w:hAnsi="宋体"/>
                <w:szCs w:val="21"/>
              </w:rPr>
            </w:pPr>
            <w:r>
              <w:rPr>
                <w:rFonts w:hint="eastAsia" w:ascii="宋体" w:hAnsi="宋体"/>
                <w:szCs w:val="21"/>
              </w:rPr>
              <w:t>人民币合计金额：</w:t>
            </w:r>
          </w:p>
        </w:tc>
      </w:tr>
    </w:tbl>
    <w:p>
      <w:pPr>
        <w:snapToGrid w:val="0"/>
        <w:spacing w:line="400" w:lineRule="exact"/>
        <w:ind w:right="52" w:firstLine="420" w:firstLineChars="200"/>
        <w:rPr>
          <w:rFonts w:hint="eastAsia" w:ascii="宋体" w:hAnsi="宋体"/>
          <w:szCs w:val="21"/>
        </w:rPr>
      </w:pPr>
      <w:r>
        <w:rPr>
          <w:rFonts w:hint="eastAsia" w:ascii="宋体" w:hAnsi="宋体"/>
          <w:szCs w:val="21"/>
        </w:rPr>
        <w:t>2、合同合计金额包括货物价款，备件、专用工具、安装、调试、检验、技术培训及技术资料和包装、运输等全部费用。如招竞争性谈判文件对其另有规定的，从其规定。</w:t>
      </w:r>
    </w:p>
    <w:p>
      <w:pPr>
        <w:snapToGrid w:val="0"/>
        <w:spacing w:line="400" w:lineRule="exact"/>
        <w:ind w:firstLine="422" w:firstLineChars="200"/>
        <w:rPr>
          <w:rFonts w:hint="eastAsia" w:ascii="宋体" w:hAnsi="宋体"/>
          <w:szCs w:val="21"/>
        </w:rPr>
      </w:pPr>
      <w:r>
        <w:rPr>
          <w:rFonts w:hint="eastAsia" w:ascii="宋体" w:hAnsi="宋体"/>
          <w:b/>
          <w:szCs w:val="21"/>
        </w:rPr>
        <w:t>第二条　质量保证</w:t>
      </w:r>
    </w:p>
    <w:p>
      <w:pPr>
        <w:snapToGrid w:val="0"/>
        <w:spacing w:line="400" w:lineRule="exact"/>
        <w:ind w:firstLine="420" w:firstLineChars="200"/>
        <w:rPr>
          <w:rFonts w:hint="eastAsia" w:ascii="宋体" w:hAnsi="宋体"/>
          <w:szCs w:val="21"/>
        </w:rPr>
      </w:pPr>
      <w:r>
        <w:rPr>
          <w:rFonts w:hint="eastAsia" w:ascii="宋体" w:hAnsi="宋体"/>
          <w:szCs w:val="21"/>
        </w:rPr>
        <w:t>1、乙方所提供的货物型号、技术规格、技术参数等质量必须与招投标文件和承诺相一致。乙方提供的节能和环保产品必须是列入政府采购清单的产品。</w:t>
      </w:r>
    </w:p>
    <w:p>
      <w:pPr>
        <w:snapToGrid w:val="0"/>
        <w:spacing w:line="400" w:lineRule="exact"/>
        <w:ind w:firstLine="420" w:firstLineChars="200"/>
        <w:rPr>
          <w:rFonts w:hint="eastAsia"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hint="eastAsia" w:ascii="宋体" w:hAnsi="宋体"/>
          <w:szCs w:val="21"/>
        </w:rPr>
      </w:pPr>
      <w:r>
        <w:rPr>
          <w:rFonts w:hint="eastAsia" w:ascii="宋体" w:hAnsi="宋体"/>
          <w:b/>
          <w:szCs w:val="21"/>
        </w:rPr>
        <w:t>第三条　权利保证</w:t>
      </w:r>
    </w:p>
    <w:p>
      <w:pPr>
        <w:snapToGrid w:val="0"/>
        <w:spacing w:line="400" w:lineRule="exact"/>
        <w:ind w:firstLine="420" w:firstLineChars="200"/>
        <w:rPr>
          <w:rFonts w:hint="eastAsia" w:ascii="宋体" w:hAnsi="宋体"/>
          <w:szCs w:val="21"/>
        </w:rPr>
      </w:pP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hint="eastAsia" w:ascii="宋体" w:hAnsi="宋体"/>
          <w:szCs w:val="21"/>
        </w:rPr>
      </w:pP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hint="eastAsia" w:ascii="宋体" w:hAnsi="宋体"/>
          <w:szCs w:val="21"/>
        </w:rPr>
      </w:pPr>
      <w:r>
        <w:rPr>
          <w:rFonts w:hint="eastAsia" w:ascii="宋体" w:hAns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hint="eastAsia" w:ascii="宋体" w:hAnsi="宋体"/>
          <w:szCs w:val="21"/>
        </w:rPr>
      </w:pP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hint="eastAsia" w:ascii="宋体" w:hAnsi="宋体"/>
          <w:b/>
          <w:szCs w:val="21"/>
        </w:rPr>
      </w:pPr>
      <w:r>
        <w:rPr>
          <w:rFonts w:hint="eastAsia" w:ascii="宋体" w:hAnsi="宋体"/>
          <w:b/>
          <w:szCs w:val="21"/>
        </w:rPr>
        <w:t>第四条　包装和运输</w:t>
      </w:r>
    </w:p>
    <w:p>
      <w:pPr>
        <w:snapToGrid w:val="0"/>
        <w:spacing w:line="400" w:lineRule="exact"/>
        <w:ind w:firstLine="420" w:firstLineChars="200"/>
        <w:rPr>
          <w:rFonts w:hint="eastAsia" w:ascii="宋体" w:hAnsi="宋体"/>
          <w:szCs w:val="21"/>
        </w:rPr>
      </w:pPr>
      <w:r>
        <w:rPr>
          <w:rFonts w:hint="eastAsia" w:ascii="宋体" w:hAnsi="宋体"/>
          <w:szCs w:val="21"/>
        </w:rPr>
        <w:t>1、乙方提供的货物均应按招投标文件要求的包</w:t>
      </w:r>
      <w:bookmarkStart w:id="0" w:name="_GoBack"/>
      <w:bookmarkEnd w:id="0"/>
      <w:r>
        <w:rPr>
          <w:rFonts w:hint="eastAsia" w:ascii="宋体" w:hAnsi="宋体"/>
          <w:szCs w:val="21"/>
        </w:rPr>
        <w:t>装材料、包装标准、包装方式进行包装，每一包装单元内应附详细的装箱单和质量合格证。</w:t>
      </w:r>
    </w:p>
    <w:p>
      <w:pPr>
        <w:snapToGrid w:val="0"/>
        <w:spacing w:line="400" w:lineRule="exact"/>
        <w:ind w:firstLine="420" w:firstLineChars="200"/>
        <w:rPr>
          <w:rFonts w:hint="eastAsia"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hint="eastAsia" w:ascii="宋体" w:hAnsi="宋体"/>
          <w:szCs w:val="21"/>
        </w:rPr>
      </w:pPr>
      <w:r>
        <w:rPr>
          <w:rFonts w:hint="eastAsia" w:ascii="宋体" w:hAnsi="宋体"/>
          <w:b/>
          <w:szCs w:val="21"/>
        </w:rPr>
        <w:t>第五条　交付和验收</w:t>
      </w:r>
    </w:p>
    <w:p>
      <w:pPr>
        <w:snapToGrid w:val="0"/>
        <w:spacing w:line="400" w:lineRule="exact"/>
        <w:ind w:firstLine="420" w:firstLineChars="200"/>
        <w:rPr>
          <w:rFonts w:hint="eastAsia" w:ascii="宋体" w:hAnsi="宋体"/>
          <w:color w:val="FF0000"/>
          <w:szCs w:val="21"/>
        </w:rPr>
      </w:pPr>
      <w:r>
        <w:rPr>
          <w:rFonts w:hint="eastAsia" w:ascii="宋体" w:hAnsi="宋体"/>
          <w:color w:val="FF0000"/>
          <w:szCs w:val="21"/>
        </w:rPr>
        <w:t>1、</w:t>
      </w:r>
      <w:r>
        <w:rPr>
          <w:rFonts w:hint="eastAsia" w:ascii="宋体" w:hAnsi="宋体"/>
          <w:color w:val="FF0000"/>
          <w:szCs w:val="21"/>
          <w:lang w:val="en-US" w:eastAsia="zh-CN"/>
        </w:rPr>
        <w:t>于2020年12月      日前完成交货并安装</w:t>
      </w:r>
      <w:r>
        <w:rPr>
          <w:rFonts w:hint="eastAsia" w:ascii="宋体" w:hAnsi="宋体"/>
          <w:color w:val="FF0000"/>
          <w:szCs w:val="21"/>
        </w:rPr>
        <w:t>。</w:t>
      </w:r>
    </w:p>
    <w:p>
      <w:pPr>
        <w:snapToGrid w:val="0"/>
        <w:spacing w:line="400" w:lineRule="exact"/>
        <w:ind w:firstLine="420" w:firstLineChars="200"/>
        <w:rPr>
          <w:rFonts w:hint="eastAsia"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hint="eastAsia" w:ascii="宋体" w:hAnsi="宋体"/>
          <w:szCs w:val="21"/>
        </w:rPr>
      </w:pPr>
      <w:r>
        <w:rPr>
          <w:rFonts w:hint="eastAsia" w:ascii="宋体" w:hAnsi="宋体"/>
          <w:szCs w:val="21"/>
        </w:rPr>
        <w:t>3、乙方应将所提供货物的装箱清单、用户手册、原厂保修卡、随机资料、工具和备品、备件等交付给甲方，货物属于进口产品的，供货时应同时附上中文使用说明书，如有缺失应及时补齐，否则视为逾期交货。</w:t>
      </w:r>
    </w:p>
    <w:p>
      <w:pPr>
        <w:snapToGrid w:val="0"/>
        <w:spacing w:line="400" w:lineRule="exact"/>
        <w:ind w:firstLine="420" w:firstLineChars="200"/>
        <w:rPr>
          <w:rFonts w:hint="eastAsia"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hint="eastAsia"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hint="eastAsia"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个工作 </w:t>
      </w:r>
      <w:r>
        <w:rPr>
          <w:rFonts w:hint="eastAsia" w:ascii="宋体" w:hAnsi="宋体"/>
          <w:szCs w:val="21"/>
        </w:rPr>
        <w:t>日内及时予以解决。</w:t>
      </w:r>
    </w:p>
    <w:p>
      <w:pPr>
        <w:snapToGrid w:val="0"/>
        <w:spacing w:line="400" w:lineRule="exact"/>
        <w:ind w:firstLine="422" w:firstLineChars="200"/>
        <w:rPr>
          <w:rFonts w:hint="eastAsia" w:ascii="宋体" w:hAnsi="宋体"/>
          <w:b/>
          <w:szCs w:val="21"/>
        </w:rPr>
      </w:pPr>
      <w:r>
        <w:rPr>
          <w:rFonts w:hint="eastAsia" w:ascii="宋体" w:hAnsi="宋体"/>
          <w:b/>
          <w:szCs w:val="21"/>
        </w:rPr>
        <w:t>第六条　安装和培训</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1、甲方应提供必要安装条件（如场地、电源、水源等）。</w:t>
      </w:r>
    </w:p>
    <w:p>
      <w:pPr>
        <w:snapToGrid w:val="0"/>
        <w:spacing w:line="400" w:lineRule="exact"/>
        <w:ind w:firstLine="420" w:firstLineChars="200"/>
        <w:rPr>
          <w:rFonts w:hint="default"/>
          <w:color w:val="auto"/>
          <w:lang w:val="en-US" w:eastAsia="zh-CN"/>
        </w:rPr>
      </w:pPr>
      <w:r>
        <w:rPr>
          <w:rFonts w:hint="eastAsia" w:ascii="宋体" w:hAnsi="宋体"/>
          <w:color w:val="auto"/>
          <w:szCs w:val="21"/>
        </w:rPr>
        <w:t>2、乙方负责现场安装并调试合格，负责现场培训1～2名人员至掌握设备操作及日常维护</w:t>
      </w:r>
      <w:r>
        <w:rPr>
          <w:rFonts w:hint="eastAsia" w:ascii="宋体" w:hAnsi="宋体"/>
          <w:color w:val="auto"/>
          <w:szCs w:val="21"/>
          <w:lang w:val="en-US" w:eastAsia="zh-CN"/>
        </w:rPr>
        <w:t>。</w:t>
      </w:r>
    </w:p>
    <w:p>
      <w:pPr>
        <w:snapToGrid w:val="0"/>
        <w:spacing w:line="400" w:lineRule="exact"/>
        <w:ind w:firstLine="422" w:firstLineChars="200"/>
        <w:rPr>
          <w:rFonts w:hint="eastAsia" w:ascii="宋体" w:hAnsi="宋体"/>
          <w:b/>
          <w:szCs w:val="21"/>
        </w:rPr>
      </w:pPr>
      <w:r>
        <w:rPr>
          <w:rFonts w:hint="eastAsia" w:ascii="宋体" w:hAnsi="宋体"/>
          <w:b/>
          <w:szCs w:val="21"/>
        </w:rPr>
        <w:t>第七条  售后服务、质保期</w:t>
      </w:r>
    </w:p>
    <w:p>
      <w:pPr>
        <w:snapToGrid w:val="0"/>
        <w:spacing w:line="400" w:lineRule="exact"/>
        <w:ind w:firstLine="420" w:firstLineChars="200"/>
        <w:rPr>
          <w:rFonts w:hint="eastAsia" w:ascii="宋体" w:hAnsi="宋体"/>
          <w:szCs w:val="21"/>
        </w:rPr>
      </w:pPr>
      <w:r>
        <w:rPr>
          <w:rFonts w:hint="eastAsia" w:ascii="宋体" w:hAnsi="宋体"/>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hint="eastAsia" w:ascii="宋体" w:hAnsi="宋体"/>
          <w:szCs w:val="21"/>
          <w:u w:val="single"/>
        </w:rPr>
      </w:pPr>
      <w:r>
        <w:rPr>
          <w:rFonts w:hint="eastAsia" w:ascii="宋体" w:hAnsi="宋体"/>
          <w:szCs w:val="21"/>
        </w:rPr>
        <w:t>2、货物质保期</w:t>
      </w:r>
      <w:r>
        <w:rPr>
          <w:rFonts w:hint="eastAsia" w:ascii="宋体" w:hAnsi="宋体"/>
          <w:szCs w:val="21"/>
          <w:lang w:val="en-US" w:eastAsia="zh-CN"/>
        </w:rPr>
        <w:t>见项目要求</w:t>
      </w:r>
      <w:r>
        <w:rPr>
          <w:rFonts w:hint="eastAsia" w:ascii="宋体" w:hAnsi="宋体"/>
          <w:szCs w:val="21"/>
          <w:u w:val="none"/>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3、乙方提供的服务承诺和售后服务及保修期责任等其它具体约定事项。（见合同附件）</w:t>
      </w:r>
    </w:p>
    <w:p>
      <w:pPr>
        <w:snapToGrid w:val="0"/>
        <w:spacing w:line="400" w:lineRule="exact"/>
        <w:ind w:firstLine="422" w:firstLineChars="200"/>
        <w:rPr>
          <w:rFonts w:hint="eastAsia" w:ascii="宋体" w:hAnsi="宋体"/>
          <w:szCs w:val="21"/>
        </w:rPr>
      </w:pPr>
      <w:r>
        <w:rPr>
          <w:rFonts w:hint="eastAsia" w:ascii="宋体" w:hAnsi="宋体"/>
          <w:b/>
          <w:szCs w:val="21"/>
        </w:rPr>
        <w:t>第八条　付款方式和保证金</w:t>
      </w:r>
    </w:p>
    <w:p>
      <w:pPr>
        <w:pStyle w:val="5"/>
        <w:snapToGrid w:val="0"/>
        <w:spacing w:line="400" w:lineRule="exact"/>
        <w:ind w:firstLine="400" w:firstLineChars="200"/>
        <w:rPr>
          <w:rFonts w:hint="eastAsia" w:hAnsi="宋体"/>
        </w:rPr>
      </w:pPr>
      <w:r>
        <w:rPr>
          <w:rFonts w:hint="eastAsia" w:hAnsi="宋体"/>
          <w:bCs/>
        </w:rPr>
        <w:t>1、</w:t>
      </w:r>
      <w:r>
        <w:rPr>
          <w:rFonts w:hint="eastAsia" w:hAnsi="宋体"/>
        </w:rPr>
        <w:t>当采购数量与实际使用数量不一致时，乙方应根据实际使用量供货，合同的最终结算金额按实际使用量乘以成交单价进行计算。</w:t>
      </w:r>
    </w:p>
    <w:p>
      <w:pPr>
        <w:snapToGrid w:val="0"/>
        <w:spacing w:line="400" w:lineRule="exact"/>
        <w:ind w:firstLine="420" w:firstLineChars="200"/>
        <w:rPr>
          <w:rFonts w:hint="eastAsia" w:ascii="宋体" w:hAnsi="宋体"/>
          <w:szCs w:val="21"/>
          <w:u w:val="single"/>
        </w:rPr>
      </w:pPr>
      <w:r>
        <w:rPr>
          <w:rFonts w:hint="eastAsia" w:ascii="宋体" w:hAnsi="宋体"/>
          <w:szCs w:val="21"/>
        </w:rPr>
        <w:t>2、资金性质：</w:t>
      </w:r>
      <w:r>
        <w:rPr>
          <w:rFonts w:hint="eastAsia" w:ascii="宋体" w:hAnsi="宋体"/>
          <w:szCs w:val="21"/>
          <w:u w:val="single"/>
        </w:rPr>
        <w:t xml:space="preserve">  财政性资金  。</w:t>
      </w:r>
    </w:p>
    <w:p>
      <w:pPr>
        <w:snapToGrid w:val="0"/>
        <w:spacing w:line="400" w:lineRule="exact"/>
        <w:ind w:left="-61" w:leftChars="-29" w:firstLine="514" w:firstLineChars="245"/>
        <w:rPr>
          <w:rFonts w:hint="eastAsia" w:ascii="宋体" w:hAnsi="宋体"/>
          <w:szCs w:val="21"/>
        </w:rPr>
      </w:pPr>
      <w:r>
        <w:rPr>
          <w:rFonts w:hint="eastAsia" w:ascii="宋体" w:hAnsi="宋体"/>
          <w:szCs w:val="21"/>
        </w:rPr>
        <w:t>3、付款方式：</w:t>
      </w:r>
      <w:r>
        <w:rPr>
          <w:rFonts w:hint="eastAsia" w:ascii="宋体" w:hAnsi="宋体"/>
          <w:szCs w:val="21"/>
          <w:u w:val="single"/>
        </w:rPr>
        <w:t>依照</w:t>
      </w:r>
      <w:r>
        <w:rPr>
          <w:rFonts w:hint="eastAsia" w:ascii="宋体" w:hAnsi="宋体"/>
          <w:szCs w:val="21"/>
          <w:u w:val="single"/>
          <w:lang w:val="en-US" w:eastAsia="zh-CN"/>
        </w:rPr>
        <w:t>项目</w:t>
      </w:r>
      <w:r>
        <w:rPr>
          <w:rFonts w:hint="eastAsia" w:ascii="宋体" w:hAnsi="宋体"/>
          <w:szCs w:val="21"/>
          <w:u w:val="single"/>
        </w:rPr>
        <w:t>标要求</w:t>
      </w:r>
      <w:r>
        <w:rPr>
          <w:rFonts w:hint="eastAsia" w:ascii="宋体" w:hAnsi="宋体"/>
          <w:szCs w:val="21"/>
        </w:rPr>
        <w:t>。</w:t>
      </w:r>
    </w:p>
    <w:p>
      <w:pPr>
        <w:snapToGrid w:val="0"/>
        <w:spacing w:line="400" w:lineRule="exact"/>
        <w:ind w:left="-61" w:leftChars="-29" w:firstLine="517" w:firstLineChars="245"/>
        <w:rPr>
          <w:rFonts w:hint="eastAsia" w:ascii="宋体" w:hAnsi="宋体"/>
          <w:b/>
          <w:szCs w:val="21"/>
        </w:rPr>
      </w:pPr>
      <w:r>
        <w:rPr>
          <w:rFonts w:hint="eastAsia" w:ascii="宋体" w:hAnsi="宋体"/>
          <w:b/>
          <w:szCs w:val="21"/>
        </w:rPr>
        <w:t>第九条　质量保证金</w:t>
      </w:r>
    </w:p>
    <w:p>
      <w:pPr>
        <w:snapToGrid w:val="0"/>
        <w:spacing w:line="400" w:lineRule="exact"/>
        <w:ind w:left="-61" w:firstLine="514"/>
        <w:rPr>
          <w:rFonts w:hint="eastAsia" w:ascii="宋体" w:hAnsi="宋体"/>
          <w:b/>
          <w:szCs w:val="21"/>
        </w:rPr>
      </w:pPr>
      <w:r>
        <w:rPr>
          <w:rFonts w:hint="eastAsia" w:ascii="宋体" w:hAnsi="宋体"/>
          <w:szCs w:val="21"/>
          <w:u w:val="single"/>
        </w:rPr>
        <w:t>依照第八条约定</w:t>
      </w:r>
      <w:r>
        <w:rPr>
          <w:rFonts w:hint="eastAsia" w:ascii="宋体" w:hAnsi="宋体"/>
          <w:szCs w:val="21"/>
        </w:rPr>
        <w:t>。</w:t>
      </w:r>
    </w:p>
    <w:p>
      <w:pPr>
        <w:snapToGrid w:val="0"/>
        <w:spacing w:line="400" w:lineRule="exact"/>
        <w:ind w:left="-61" w:firstLine="514"/>
        <w:rPr>
          <w:rFonts w:hint="eastAsia" w:ascii="宋体" w:hAnsi="宋体"/>
          <w:b/>
          <w:szCs w:val="21"/>
        </w:rPr>
      </w:pPr>
      <w:r>
        <w:rPr>
          <w:rFonts w:hint="eastAsia" w:ascii="宋体" w:hAnsi="宋体"/>
          <w:b/>
          <w:szCs w:val="21"/>
        </w:rPr>
        <w:t>第十条  税费</w:t>
      </w:r>
    </w:p>
    <w:p>
      <w:pPr>
        <w:snapToGrid w:val="0"/>
        <w:spacing w:line="400" w:lineRule="exact"/>
        <w:ind w:left="-61" w:firstLine="514"/>
        <w:rPr>
          <w:rFonts w:hint="eastAsia"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hint="eastAsia" w:ascii="宋体" w:hAnsi="宋体"/>
          <w:szCs w:val="21"/>
        </w:rPr>
      </w:pPr>
      <w:r>
        <w:rPr>
          <w:rFonts w:hint="eastAsia" w:ascii="宋体" w:hAnsi="宋体"/>
          <w:b/>
          <w:szCs w:val="21"/>
        </w:rPr>
        <w:t>第十一条  质量保证及售后服务</w:t>
      </w:r>
    </w:p>
    <w:p>
      <w:pPr>
        <w:pStyle w:val="5"/>
        <w:snapToGrid w:val="0"/>
        <w:spacing w:line="400" w:lineRule="exact"/>
        <w:ind w:firstLine="400" w:firstLineChars="200"/>
        <w:rPr>
          <w:rFonts w:hint="eastAsia" w:hAnsi="宋体"/>
        </w:rPr>
      </w:pPr>
      <w:r>
        <w:rPr>
          <w:rFonts w:hint="eastAsia" w:hAnsi="宋体"/>
        </w:rPr>
        <w:t>1. 乙方应按采购文件规定的货物性能、技术要求、质量标准向甲方提供未经使用的全新产品。不符合要求的，根据实际情况，经双方协商，可按以下办法处理：</w:t>
      </w:r>
    </w:p>
    <w:p>
      <w:pPr>
        <w:pStyle w:val="5"/>
        <w:snapToGrid w:val="0"/>
        <w:spacing w:line="400" w:lineRule="exact"/>
        <w:ind w:firstLine="400" w:firstLineChars="200"/>
        <w:rPr>
          <w:rFonts w:hint="eastAsia" w:hAnsi="宋体"/>
        </w:rPr>
      </w:pPr>
      <w:r>
        <w:rPr>
          <w:rFonts w:hint="eastAsia" w:hAnsi="宋体"/>
        </w:rPr>
        <w:t>⑴更换：由乙方承担所发生的全部费用。</w:t>
      </w:r>
    </w:p>
    <w:p>
      <w:pPr>
        <w:pStyle w:val="5"/>
        <w:snapToGrid w:val="0"/>
        <w:spacing w:line="400" w:lineRule="exact"/>
        <w:ind w:firstLine="420"/>
        <w:rPr>
          <w:rFonts w:hint="eastAsia" w:hAnsi="宋体"/>
        </w:rPr>
      </w:pPr>
      <w:r>
        <w:rPr>
          <w:rFonts w:hint="eastAsia" w:hAnsi="宋体"/>
        </w:rPr>
        <w:t>⑵贬值处理：由甲乙双方合议定价。</w:t>
      </w:r>
    </w:p>
    <w:p>
      <w:pPr>
        <w:pStyle w:val="5"/>
        <w:snapToGrid w:val="0"/>
        <w:spacing w:line="400" w:lineRule="exact"/>
        <w:ind w:firstLine="400" w:firstLineChars="200"/>
        <w:rPr>
          <w:rFonts w:hint="eastAsia" w:hAnsi="宋体"/>
        </w:rPr>
      </w:pPr>
      <w:r>
        <w:rPr>
          <w:rFonts w:hint="eastAsia" w:hAnsi="宋体"/>
        </w:rPr>
        <w:t>⑶退货处理：乙方应退还甲方支付的合同款，同时应承担该货物的直接费用（运输、保险、检验、货款利息及银行手续费等）。</w:t>
      </w:r>
    </w:p>
    <w:p>
      <w:pPr>
        <w:pStyle w:val="5"/>
        <w:snapToGrid w:val="0"/>
        <w:spacing w:line="400" w:lineRule="exact"/>
        <w:ind w:firstLine="400" w:firstLineChars="200"/>
        <w:rPr>
          <w:rFonts w:hint="eastAsia" w:hAnsi="宋体"/>
        </w:rPr>
      </w:pPr>
      <w:r>
        <w:rPr>
          <w:rFonts w:hint="eastAsia" w:hAnsi="宋体"/>
        </w:rPr>
        <w:t>2. 如在使用过程中发生质量问题，乙方在接到甲方通知后在</w:t>
      </w:r>
      <w:r>
        <w:rPr>
          <w:rFonts w:hint="eastAsia" w:hAnsi="宋体"/>
          <w:u w:val="single"/>
        </w:rPr>
        <w:t xml:space="preserve"> 乙方售后服务承诺 </w:t>
      </w:r>
      <w:r>
        <w:rPr>
          <w:rFonts w:hint="eastAsia" w:hAnsi="宋体"/>
          <w:u w:val="single"/>
          <w:lang w:val="en-US" w:eastAsia="zh-CN"/>
        </w:rPr>
        <w:t xml:space="preserve">  </w:t>
      </w:r>
      <w:r>
        <w:rPr>
          <w:rFonts w:hint="eastAsia" w:hAnsi="宋体"/>
        </w:rPr>
        <w:t>小时内到达甲方现场处理。</w:t>
      </w:r>
    </w:p>
    <w:p>
      <w:pPr>
        <w:pStyle w:val="5"/>
        <w:snapToGrid w:val="0"/>
        <w:spacing w:line="400" w:lineRule="exact"/>
        <w:ind w:firstLine="400" w:firstLineChars="200"/>
        <w:rPr>
          <w:rFonts w:hint="eastAsia" w:hAnsi="宋体"/>
        </w:rPr>
      </w:pPr>
      <w:r>
        <w:rPr>
          <w:rFonts w:hint="eastAsia" w:hAnsi="宋体"/>
        </w:rPr>
        <w:t>3. 在质保期内，乙方应对货物出现的质量及安全问题负责处理解决并承担一切费用。</w:t>
      </w:r>
    </w:p>
    <w:p>
      <w:pPr>
        <w:snapToGrid w:val="0"/>
        <w:spacing w:line="400" w:lineRule="exact"/>
        <w:ind w:left="-61" w:firstLine="514"/>
        <w:rPr>
          <w:rFonts w:hint="eastAsia" w:ascii="宋体" w:hAnsi="宋体"/>
        </w:rPr>
      </w:pPr>
      <w:r>
        <w:rPr>
          <w:rFonts w:hint="eastAsia" w:ascii="宋体" w:hAnsi="宋体"/>
        </w:rPr>
        <w:t>4. 货物因人为因素出现的故障不在免费保修范围内。超过保修期的机器设备，终生维修，维修时只收部件成本费。</w:t>
      </w:r>
    </w:p>
    <w:p>
      <w:pPr>
        <w:snapToGrid w:val="0"/>
        <w:spacing w:line="400" w:lineRule="exact"/>
        <w:ind w:left="-61" w:firstLine="514"/>
        <w:rPr>
          <w:rFonts w:hint="eastAsia" w:ascii="宋体" w:hAnsi="宋体"/>
          <w:szCs w:val="21"/>
        </w:rPr>
      </w:pPr>
      <w:r>
        <w:rPr>
          <w:rFonts w:hint="eastAsia" w:ascii="宋体" w:hAnsi="宋体"/>
          <w:b/>
          <w:szCs w:val="21"/>
        </w:rPr>
        <w:t>第十二条  调试和验收</w:t>
      </w:r>
    </w:p>
    <w:p>
      <w:pPr>
        <w:pStyle w:val="5"/>
        <w:snapToGrid w:val="0"/>
        <w:spacing w:line="400" w:lineRule="exact"/>
        <w:ind w:firstLine="400" w:firstLineChars="200"/>
        <w:jc w:val="left"/>
        <w:rPr>
          <w:rFonts w:hint="eastAsia" w:hAnsi="宋体"/>
        </w:rPr>
      </w:pPr>
      <w:r>
        <w:rPr>
          <w:rFonts w:hint="eastAsia" w:hAnsi="宋体"/>
        </w:rPr>
        <w:t>1. 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货物验收。</w:t>
      </w:r>
    </w:p>
    <w:p>
      <w:pPr>
        <w:pStyle w:val="5"/>
        <w:snapToGrid w:val="0"/>
        <w:spacing w:line="400" w:lineRule="exact"/>
        <w:ind w:firstLine="400" w:firstLineChars="200"/>
        <w:rPr>
          <w:rFonts w:hint="eastAsia" w:hAnsi="宋体"/>
        </w:rPr>
      </w:pPr>
      <w:r>
        <w:rPr>
          <w:rFonts w:hint="eastAsia" w:hAnsi="宋体"/>
        </w:rPr>
        <w:t>2. 乙方交货前应对产品作出全面检查和对验收文件进行整理，并列出清单，作为甲方收货验收和使用的技术条件依据，检验的结果应随货物交甲方。</w:t>
      </w:r>
    </w:p>
    <w:p>
      <w:pPr>
        <w:pStyle w:val="5"/>
        <w:snapToGrid w:val="0"/>
        <w:spacing w:line="400" w:lineRule="exact"/>
        <w:ind w:firstLine="400" w:firstLineChars="200"/>
        <w:rPr>
          <w:rFonts w:hint="eastAsia" w:hAnsi="宋体"/>
        </w:rPr>
      </w:pPr>
      <w:r>
        <w:rPr>
          <w:rFonts w:hint="eastAsia" w:hAnsi="宋体"/>
        </w:rPr>
        <w:t>3. 甲方对乙方提供的货物在使用前进行调试时，乙方需负责安装并培训甲方的使用操作人员，并协助甲方一起调试，直到符合技术要求，甲方才做最终验收。</w:t>
      </w:r>
    </w:p>
    <w:p>
      <w:pPr>
        <w:pStyle w:val="5"/>
        <w:snapToGrid w:val="0"/>
        <w:spacing w:line="400" w:lineRule="exact"/>
        <w:ind w:firstLine="400" w:firstLineChars="200"/>
        <w:rPr>
          <w:rFonts w:hint="eastAsia" w:hAnsi="宋体"/>
        </w:rPr>
      </w:pPr>
      <w:r>
        <w:rPr>
          <w:rFonts w:hint="eastAsia" w:hAnsi="宋体"/>
        </w:rPr>
        <w:t>4. 对技术复杂的货物，甲方应请国家认可的专业检测机构参与初步验收及最终验收，并由其出具质量检测报告。</w:t>
      </w:r>
    </w:p>
    <w:p>
      <w:pPr>
        <w:snapToGrid w:val="0"/>
        <w:spacing w:line="400" w:lineRule="exact"/>
        <w:ind w:left="-61" w:firstLine="514"/>
        <w:rPr>
          <w:rFonts w:hint="eastAsia" w:ascii="宋体" w:hAnsi="宋体"/>
          <w:szCs w:val="21"/>
        </w:rPr>
      </w:pPr>
      <w:r>
        <w:rPr>
          <w:rFonts w:hint="eastAsia" w:ascii="宋体" w:hAnsi="宋体"/>
        </w:rPr>
        <w:t>5. 验收时乙方必须在现场，验收完毕后作出验收结果报告；验收费用由乙方负责。</w:t>
      </w:r>
    </w:p>
    <w:p>
      <w:pPr>
        <w:pStyle w:val="5"/>
        <w:snapToGrid w:val="0"/>
        <w:spacing w:line="400" w:lineRule="exact"/>
        <w:ind w:firstLine="394" w:firstLineChars="196"/>
        <w:rPr>
          <w:rFonts w:hint="eastAsia" w:hAnsi="宋体"/>
          <w:b/>
        </w:rPr>
      </w:pPr>
      <w:r>
        <w:rPr>
          <w:rFonts w:hint="eastAsia" w:hAnsi="宋体"/>
          <w:b/>
        </w:rPr>
        <w:t>第十三条  货物包装、发运及运输</w:t>
      </w:r>
    </w:p>
    <w:p>
      <w:pPr>
        <w:pStyle w:val="5"/>
        <w:snapToGrid w:val="0"/>
        <w:spacing w:line="400" w:lineRule="exact"/>
        <w:ind w:firstLine="400" w:firstLineChars="200"/>
        <w:rPr>
          <w:rFonts w:hint="eastAsia" w:hAnsi="宋体"/>
        </w:rPr>
      </w:pPr>
      <w:r>
        <w:rPr>
          <w:rFonts w:hint="eastAsia" w:hAnsi="宋体"/>
        </w:rPr>
        <w:t>1. 乙方应在货物发运前对其进行满足运输距离、防潮、防震、防锈和防破损装卸等要求包装，以保证货物安全运达甲方指定地点。</w:t>
      </w:r>
    </w:p>
    <w:p>
      <w:pPr>
        <w:pStyle w:val="5"/>
        <w:snapToGrid w:val="0"/>
        <w:spacing w:line="400" w:lineRule="exact"/>
        <w:ind w:firstLine="400" w:firstLineChars="200"/>
        <w:rPr>
          <w:rFonts w:hint="eastAsia" w:hAnsi="宋体"/>
        </w:rPr>
      </w:pPr>
      <w:r>
        <w:rPr>
          <w:rFonts w:hint="eastAsia" w:hAnsi="宋体"/>
        </w:rPr>
        <w:t>2. 使用说明书（货物属于进口产品的，供货时应同时附上中文使用说明书）、质量检验证明书、随配附件和工具以及清单一并附于货物内。</w:t>
      </w:r>
    </w:p>
    <w:p>
      <w:pPr>
        <w:pStyle w:val="5"/>
        <w:snapToGrid w:val="0"/>
        <w:spacing w:line="400" w:lineRule="exact"/>
        <w:ind w:firstLine="400" w:firstLineChars="200"/>
        <w:rPr>
          <w:rFonts w:hint="eastAsia" w:hAnsi="宋体"/>
        </w:rPr>
      </w:pPr>
      <w:r>
        <w:rPr>
          <w:rFonts w:hint="eastAsia" w:hAnsi="宋体"/>
        </w:rPr>
        <w:t>3. 乙方在货物发运手续办理完毕后二十四小时内或货到甲方四十八小时前通知甲方，以准备接货。</w:t>
      </w:r>
    </w:p>
    <w:p>
      <w:pPr>
        <w:pStyle w:val="5"/>
        <w:snapToGrid w:val="0"/>
        <w:spacing w:line="400" w:lineRule="exact"/>
        <w:ind w:left="420" w:leftChars="200"/>
        <w:rPr>
          <w:rFonts w:hint="eastAsia" w:hAnsi="宋体"/>
        </w:rPr>
      </w:pPr>
      <w:r>
        <w:rPr>
          <w:rFonts w:hint="eastAsia" w:hAnsi="宋体"/>
        </w:rPr>
        <w:t>4. 货物在交付甲方前发生的风险均由乙方负责。</w:t>
      </w:r>
    </w:p>
    <w:p>
      <w:pPr>
        <w:snapToGrid w:val="0"/>
        <w:spacing w:line="400" w:lineRule="exact"/>
        <w:ind w:left="-61" w:firstLine="514"/>
        <w:rPr>
          <w:rFonts w:hint="eastAsia" w:ascii="宋体" w:hAnsi="宋体"/>
          <w:szCs w:val="21"/>
        </w:rPr>
      </w:pPr>
      <w:r>
        <w:rPr>
          <w:rFonts w:hint="eastAsia" w:ascii="宋体" w:hAnsi="宋体"/>
        </w:rPr>
        <w:t>5. 货物在规定的交付期限内由乙方送达甲方指定的地点视为交付，乙方同时需通知甲方货物已送达。</w:t>
      </w:r>
    </w:p>
    <w:p>
      <w:pPr>
        <w:snapToGrid w:val="0"/>
        <w:spacing w:line="400" w:lineRule="exact"/>
        <w:ind w:firstLine="422" w:firstLineChars="200"/>
        <w:rPr>
          <w:rFonts w:hint="eastAsia" w:ascii="宋体" w:hAnsi="宋体"/>
          <w:b/>
          <w:szCs w:val="21"/>
        </w:rPr>
      </w:pPr>
      <w:r>
        <w:rPr>
          <w:rFonts w:hint="eastAsia" w:ascii="宋体" w:hAnsi="宋体"/>
          <w:b/>
          <w:szCs w:val="21"/>
        </w:rPr>
        <w:t>第十四条　违约责任</w:t>
      </w:r>
    </w:p>
    <w:p>
      <w:pPr>
        <w:snapToGrid w:val="0"/>
        <w:spacing w:line="400" w:lineRule="exact"/>
        <w:ind w:firstLine="525" w:firstLineChars="250"/>
        <w:rPr>
          <w:rFonts w:hint="eastAsia" w:ascii="宋体" w:hAnsi="宋体"/>
          <w:szCs w:val="21"/>
        </w:rPr>
      </w:pPr>
      <w:r>
        <w:rPr>
          <w:rFonts w:hint="eastAsia" w:ascii="宋体" w:hAns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hint="eastAsia" w:ascii="宋体" w:hAnsi="宋体"/>
          <w:szCs w:val="21"/>
        </w:rPr>
      </w:pPr>
      <w:r>
        <w:rPr>
          <w:rFonts w:hint="eastAsia" w:ascii="宋体" w:hAnsi="宋体"/>
          <w:szCs w:val="21"/>
        </w:rPr>
        <w:t>2、乙方提供的货物如侵犯了第三方合法权益而引发的任何纠纷或诉讼，均由乙方负责交涉并承担全部责任。</w:t>
      </w:r>
    </w:p>
    <w:p>
      <w:pPr>
        <w:snapToGrid w:val="0"/>
        <w:spacing w:line="400" w:lineRule="exact"/>
        <w:ind w:firstLine="420" w:firstLineChars="200"/>
        <w:rPr>
          <w:rFonts w:hint="eastAsia" w:ascii="宋体" w:hAnsi="宋体"/>
          <w:szCs w:val="21"/>
        </w:rPr>
      </w:pPr>
      <w:r>
        <w:rPr>
          <w:rFonts w:hint="eastAsia" w:ascii="宋体" w:hAnsi="宋体"/>
          <w:szCs w:val="21"/>
        </w:rPr>
        <w:t>3、因包装、运输引起的货物损坏，按质量不合格处罚。</w:t>
      </w:r>
    </w:p>
    <w:p>
      <w:pPr>
        <w:snapToGrid w:val="0"/>
        <w:spacing w:line="400" w:lineRule="exact"/>
        <w:ind w:firstLine="420" w:firstLineChars="200"/>
        <w:rPr>
          <w:rFonts w:hint="eastAsia" w:ascii="宋体" w:hAnsi="宋体"/>
          <w:szCs w:val="21"/>
        </w:rPr>
      </w:pPr>
      <w:r>
        <w:rPr>
          <w:rFonts w:hint="eastAsia" w:ascii="宋体" w:hAnsi="宋体"/>
          <w:szCs w:val="21"/>
        </w:rPr>
        <w:t>4、甲方无故延期接收货物、乙方逾期交货的，每天向对方偿付违约货款额</w:t>
      </w:r>
      <w:r>
        <w:rPr>
          <w:rFonts w:hint="eastAsia" w:ascii="宋体" w:hAnsi="宋体"/>
          <w:szCs w:val="21"/>
          <w:u w:val="single"/>
        </w:rPr>
        <w:t>4‰</w:t>
      </w:r>
      <w:r>
        <w:rPr>
          <w:rFonts w:hint="eastAsia" w:ascii="宋体" w:hAnsi="宋体"/>
          <w:szCs w:val="21"/>
        </w:rPr>
        <w:t>违约金，但违约金累计不得超过违约货款额</w:t>
      </w:r>
      <w:r>
        <w:rPr>
          <w:rFonts w:hint="eastAsia" w:ascii="宋体" w:hAnsi="宋体"/>
          <w:szCs w:val="21"/>
          <w:u w:val="single"/>
        </w:rPr>
        <w:t>5%</w:t>
      </w:r>
      <w:r>
        <w:rPr>
          <w:rFonts w:hint="eastAsia" w:ascii="宋体" w:hAnsi="宋体"/>
          <w:szCs w:val="21"/>
        </w:rPr>
        <w:t>，超过</w:t>
      </w:r>
      <w:r>
        <w:rPr>
          <w:rFonts w:hint="eastAsia" w:ascii="宋体" w:hAnsi="宋体"/>
          <w:szCs w:val="21"/>
          <w:u w:val="single"/>
        </w:rPr>
        <w:t xml:space="preserve"> 15 </w:t>
      </w:r>
      <w:r>
        <w:rPr>
          <w:rFonts w:hint="eastAsia" w:ascii="宋体" w:hAnsi="宋体"/>
          <w:szCs w:val="21"/>
        </w:rPr>
        <w:t>天对方有权解除合同，违约方承担因此给对方造成经济损失；甲方延期付货款的，每天向乙方偿付延期货款额</w:t>
      </w:r>
      <w:r>
        <w:rPr>
          <w:rFonts w:hint="eastAsia" w:ascii="宋体" w:hAnsi="宋体"/>
          <w:szCs w:val="21"/>
          <w:u w:val="single"/>
        </w:rPr>
        <w:t>4‰</w:t>
      </w:r>
      <w:r>
        <w:rPr>
          <w:rFonts w:hint="eastAsia" w:ascii="宋体" w:hAnsi="宋体"/>
          <w:szCs w:val="21"/>
        </w:rPr>
        <w:t>滞纳金，但滞纳金累计不得超过延期货款额</w:t>
      </w:r>
      <w:r>
        <w:rPr>
          <w:rFonts w:hint="eastAsia" w:ascii="宋体" w:hAnsi="宋体"/>
          <w:szCs w:val="21"/>
          <w:u w:val="single"/>
        </w:rPr>
        <w:t>5%</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5、乙方未按本合同和投标文件中规定的服务承诺提供售后服务的，乙方应按本合同合计金额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pPr>
        <w:snapToGrid w:val="0"/>
        <w:spacing w:line="400" w:lineRule="exact"/>
        <w:ind w:firstLine="420" w:firstLineChars="200"/>
        <w:rPr>
          <w:rFonts w:hint="eastAsia" w:ascii="宋体" w:hAnsi="宋体"/>
          <w:szCs w:val="21"/>
        </w:rPr>
      </w:pPr>
      <w:r>
        <w:rPr>
          <w:rFonts w:hint="eastAsia" w:ascii="宋体" w:hAnsi="宋体"/>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宋体" w:hAnsi="宋体"/>
          <w:szCs w:val="21"/>
        </w:rPr>
      </w:pPr>
      <w:r>
        <w:rPr>
          <w:rFonts w:hint="eastAsia" w:ascii="宋体" w:hAnsi="宋体"/>
          <w:szCs w:val="21"/>
        </w:rPr>
        <w:t>7、其它违约行为按违约货款额5%收取违约金并赔偿经济损失。</w:t>
      </w:r>
    </w:p>
    <w:p>
      <w:pPr>
        <w:pStyle w:val="5"/>
        <w:snapToGrid w:val="0"/>
        <w:spacing w:line="400" w:lineRule="exact"/>
        <w:ind w:firstLine="394" w:firstLineChars="196"/>
        <w:rPr>
          <w:rFonts w:hint="eastAsia" w:hAnsi="宋体"/>
          <w:b/>
        </w:rPr>
      </w:pPr>
      <w:r>
        <w:rPr>
          <w:rFonts w:hint="eastAsia" w:hAnsi="宋体"/>
          <w:b/>
        </w:rPr>
        <w:t>第十五条  不可抗力事件处理</w:t>
      </w:r>
    </w:p>
    <w:p>
      <w:pPr>
        <w:pStyle w:val="5"/>
        <w:snapToGrid w:val="0"/>
        <w:spacing w:line="400" w:lineRule="exact"/>
        <w:ind w:firstLine="400" w:firstLineChars="200"/>
        <w:rPr>
          <w:rFonts w:hint="eastAsia" w:hAnsi="宋体"/>
        </w:rPr>
      </w:pPr>
      <w:r>
        <w:rPr>
          <w:rFonts w:hint="eastAsia" w:hAnsi="宋体"/>
        </w:rPr>
        <w:t>1. 在合同有效期内，任何一方因不可抗力事件导致不能履行合同，则合同履行期可延长，其延长期与不可抗力影响期相同。</w:t>
      </w:r>
    </w:p>
    <w:p>
      <w:pPr>
        <w:pStyle w:val="5"/>
        <w:snapToGrid w:val="0"/>
        <w:spacing w:line="400" w:lineRule="exact"/>
        <w:ind w:firstLine="400" w:firstLineChars="200"/>
        <w:rPr>
          <w:rFonts w:hint="eastAsia" w:hAnsi="宋体"/>
        </w:rPr>
      </w:pPr>
      <w:r>
        <w:rPr>
          <w:rFonts w:hint="eastAsia" w:hAnsi="宋体"/>
        </w:rPr>
        <w:t>2. 不可抗力事件发生后，应立即通知对方，并寄送有关权威机构出具的证明。</w:t>
      </w:r>
    </w:p>
    <w:p>
      <w:pPr>
        <w:snapToGrid w:val="0"/>
        <w:spacing w:line="400" w:lineRule="exact"/>
        <w:ind w:left="-61" w:firstLine="514"/>
        <w:rPr>
          <w:rFonts w:hint="eastAsia" w:ascii="宋体" w:hAnsi="宋体"/>
          <w:szCs w:val="21"/>
        </w:rPr>
      </w:pPr>
      <w:r>
        <w:rPr>
          <w:rFonts w:hint="eastAsia" w:ascii="宋体" w:hAnsi="宋体"/>
        </w:rPr>
        <w:t>3. 不可抗力事件延续一百二十天以上，双方应通过友好协商，确定是否继续履行合同。</w:t>
      </w:r>
    </w:p>
    <w:p>
      <w:pPr>
        <w:snapToGrid w:val="0"/>
        <w:spacing w:line="400" w:lineRule="exact"/>
        <w:ind w:firstLine="422" w:firstLineChars="200"/>
        <w:rPr>
          <w:rFonts w:hint="eastAsia" w:ascii="宋体" w:hAnsi="宋体"/>
          <w:szCs w:val="21"/>
        </w:rPr>
      </w:pPr>
      <w:r>
        <w:rPr>
          <w:rFonts w:hint="eastAsia" w:ascii="宋体" w:hAnsi="宋体"/>
          <w:b/>
          <w:szCs w:val="21"/>
        </w:rPr>
        <w:t>第十六条  合同争议解决</w:t>
      </w:r>
    </w:p>
    <w:p>
      <w:pPr>
        <w:snapToGrid w:val="0"/>
        <w:spacing w:line="400" w:lineRule="exact"/>
        <w:ind w:firstLine="420" w:firstLineChars="200"/>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hint="eastAsia" w:ascii="宋体" w:hAnsi="宋体"/>
          <w:szCs w:val="21"/>
        </w:rPr>
      </w:pPr>
      <w:r>
        <w:rPr>
          <w:rFonts w:hint="eastAsia" w:ascii="宋体" w:hAnsi="宋体"/>
          <w:szCs w:val="21"/>
        </w:rPr>
        <w:t>3、诉讼期间，本合同继续履行。</w:t>
      </w:r>
    </w:p>
    <w:p>
      <w:pPr>
        <w:pStyle w:val="5"/>
        <w:snapToGrid w:val="0"/>
        <w:spacing w:line="400" w:lineRule="exact"/>
        <w:ind w:firstLine="394" w:firstLineChars="196"/>
        <w:rPr>
          <w:rFonts w:hint="eastAsia" w:hAnsi="宋体"/>
          <w:b/>
        </w:rPr>
      </w:pPr>
      <w:r>
        <w:rPr>
          <w:rFonts w:hint="eastAsia" w:hAnsi="宋体"/>
          <w:b/>
        </w:rPr>
        <w:t>第十七条  合同生效及其它</w:t>
      </w:r>
    </w:p>
    <w:p>
      <w:pPr>
        <w:pStyle w:val="5"/>
        <w:snapToGrid w:val="0"/>
        <w:spacing w:line="400" w:lineRule="exact"/>
        <w:ind w:firstLine="400" w:firstLineChars="200"/>
        <w:rPr>
          <w:rFonts w:hint="eastAsia" w:hAnsi="宋体"/>
        </w:rPr>
      </w:pPr>
      <w:r>
        <w:rPr>
          <w:rFonts w:hint="eastAsia" w:hAnsi="宋体"/>
        </w:rPr>
        <w:t>1.合同经双方法定代表人或被授权代表签字并加盖单位公章后生效。</w:t>
      </w:r>
    </w:p>
    <w:p>
      <w:pPr>
        <w:pStyle w:val="5"/>
        <w:snapToGrid w:val="0"/>
        <w:spacing w:line="400" w:lineRule="exact"/>
        <w:ind w:firstLine="400" w:firstLineChars="200"/>
        <w:rPr>
          <w:rFonts w:hint="eastAsia" w:hAnsi="宋体"/>
        </w:rPr>
      </w:pPr>
      <w:r>
        <w:rPr>
          <w:rFonts w:hint="eastAsia" w:hAnsi="宋体"/>
        </w:rPr>
        <w:t>2.合同执行中涉及采购资金和采购内容修改或补充的，在法规范围内，须签书面补充协议方可作为主合同不可分割的一部分。</w:t>
      </w:r>
    </w:p>
    <w:p>
      <w:pPr>
        <w:pStyle w:val="5"/>
        <w:snapToGrid w:val="0"/>
        <w:spacing w:line="400" w:lineRule="exact"/>
        <w:ind w:left="420" w:leftChars="200"/>
        <w:rPr>
          <w:rFonts w:hint="eastAsia" w:hAnsi="宋体"/>
        </w:rPr>
      </w:pPr>
      <w:r>
        <w:rPr>
          <w:rFonts w:hint="eastAsia" w:hAnsi="宋体"/>
        </w:rPr>
        <w:t>3.本合同未尽事宜，遵照《合同法》有关条文执行。</w:t>
      </w:r>
    </w:p>
    <w:p>
      <w:pPr>
        <w:snapToGrid w:val="0"/>
        <w:spacing w:line="400" w:lineRule="exact"/>
        <w:ind w:firstLine="422" w:firstLineChars="200"/>
        <w:rPr>
          <w:rFonts w:hint="eastAsia" w:ascii="宋体" w:hAnsi="宋体"/>
          <w:b/>
          <w:szCs w:val="21"/>
        </w:rPr>
      </w:pPr>
      <w:r>
        <w:rPr>
          <w:rFonts w:hint="eastAsia" w:ascii="宋体" w:hAnsi="宋体"/>
          <w:b/>
          <w:szCs w:val="21"/>
        </w:rPr>
        <w:t>第十八条　合同的变更、终止与转让</w:t>
      </w:r>
    </w:p>
    <w:p>
      <w:pPr>
        <w:snapToGrid w:val="0"/>
        <w:spacing w:line="400" w:lineRule="exact"/>
        <w:ind w:firstLine="420" w:firstLineChars="200"/>
        <w:rPr>
          <w:rFonts w:hint="eastAsia"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snapToGrid w:val="0"/>
        <w:spacing w:line="400" w:lineRule="exact"/>
        <w:ind w:left="-61" w:firstLine="514"/>
        <w:rPr>
          <w:rFonts w:hint="eastAsia"/>
        </w:rPr>
      </w:pPr>
      <w:r>
        <w:rPr>
          <w:rFonts w:hint="eastAsia"/>
        </w:rPr>
        <w:t>2、乙方不得擅自转让（无进口资格的供应商委托进口货物除外）其应履行的合同义务。</w:t>
      </w:r>
    </w:p>
    <w:p>
      <w:pPr>
        <w:snapToGrid w:val="0"/>
        <w:spacing w:line="400" w:lineRule="exact"/>
        <w:ind w:firstLine="422" w:firstLineChars="200"/>
        <w:rPr>
          <w:rFonts w:hint="eastAsia" w:ascii="宋体" w:hAnsi="宋体"/>
          <w:b/>
          <w:szCs w:val="21"/>
        </w:rPr>
      </w:pPr>
      <w:r>
        <w:rPr>
          <w:rFonts w:hint="eastAsia" w:ascii="宋体" w:hAnsi="宋体"/>
          <w:b/>
          <w:szCs w:val="21"/>
        </w:rPr>
        <w:t>第十九条　签订本合同依据</w:t>
      </w:r>
    </w:p>
    <w:p>
      <w:pPr>
        <w:pStyle w:val="5"/>
        <w:snapToGrid w:val="0"/>
        <w:spacing w:line="400" w:lineRule="exact"/>
        <w:ind w:left="420" w:leftChars="200"/>
        <w:rPr>
          <w:rFonts w:hint="eastAsia" w:hAnsi="宋体"/>
        </w:rPr>
      </w:pPr>
      <w:r>
        <w:rPr>
          <w:rFonts w:hint="eastAsia" w:hAnsi="宋体"/>
        </w:rPr>
        <w:t>1、项目采购文件；</w:t>
      </w:r>
    </w:p>
    <w:p>
      <w:pPr>
        <w:pStyle w:val="5"/>
        <w:snapToGrid w:val="0"/>
        <w:spacing w:line="400" w:lineRule="exact"/>
        <w:ind w:left="420" w:leftChars="200"/>
        <w:rPr>
          <w:rFonts w:hint="eastAsia" w:hAnsi="宋体"/>
        </w:rPr>
      </w:pPr>
      <w:r>
        <w:rPr>
          <w:rFonts w:hint="eastAsia" w:hAnsi="宋体"/>
        </w:rPr>
        <w:t>2、乙方提供的</w:t>
      </w:r>
      <w:r>
        <w:rPr>
          <w:rFonts w:hint="eastAsia" w:hAnsi="宋体"/>
          <w:lang w:val="en-US" w:eastAsia="zh-CN"/>
        </w:rPr>
        <w:t>报价</w:t>
      </w:r>
      <w:r>
        <w:rPr>
          <w:rFonts w:hint="eastAsia" w:hAnsi="宋体"/>
        </w:rPr>
        <w:t>文件；</w:t>
      </w:r>
    </w:p>
    <w:p>
      <w:pPr>
        <w:pStyle w:val="5"/>
        <w:snapToGrid w:val="0"/>
        <w:spacing w:line="400" w:lineRule="exact"/>
        <w:ind w:left="420" w:leftChars="200"/>
        <w:rPr>
          <w:rFonts w:hint="eastAsia" w:hAnsi="宋体"/>
          <w:b/>
        </w:rPr>
      </w:pPr>
      <w:r>
        <w:rPr>
          <w:rFonts w:hint="eastAsia" w:hAnsi="宋体"/>
          <w:lang w:val="en-US" w:eastAsia="zh-CN"/>
        </w:rPr>
        <w:t>3</w:t>
      </w:r>
      <w:r>
        <w:rPr>
          <w:rFonts w:hint="eastAsia" w:hAnsi="宋体"/>
        </w:rPr>
        <w:t>、成交通知书。</w:t>
      </w:r>
    </w:p>
    <w:p>
      <w:pPr>
        <w:snapToGrid w:val="0"/>
        <w:spacing w:line="400" w:lineRule="exact"/>
        <w:ind w:firstLine="422" w:firstLineChars="200"/>
        <w:rPr>
          <w:rFonts w:hint="eastAsia" w:ascii="宋体" w:hAnsi="宋体"/>
          <w:szCs w:val="21"/>
        </w:rPr>
      </w:pPr>
      <w:r>
        <w:rPr>
          <w:rFonts w:hint="eastAsia" w:ascii="宋体" w:hAnsi="宋体"/>
          <w:b/>
          <w:szCs w:val="21"/>
        </w:rPr>
        <w:t>第二十条　</w:t>
      </w:r>
      <w:r>
        <w:rPr>
          <w:rFonts w:hint="eastAsia" w:ascii="宋体" w:hAnsi="宋体"/>
          <w:szCs w:val="21"/>
        </w:rPr>
        <w:t>本合同一式五份，具有同等法律效力，甲方</w:t>
      </w:r>
      <w:r>
        <w:rPr>
          <w:rFonts w:hint="eastAsia" w:ascii="宋体" w:hAnsi="宋体"/>
          <w:szCs w:val="21"/>
          <w:lang w:val="en-US" w:eastAsia="zh-CN"/>
        </w:rPr>
        <w:t>四</w:t>
      </w:r>
      <w:r>
        <w:rPr>
          <w:rFonts w:hint="eastAsia" w:ascii="宋体" w:hAnsi="宋体"/>
          <w:szCs w:val="21"/>
        </w:rPr>
        <w:t>份，乙方一份，采购代理机构一份。本合同甲乙双方签字盖章后生效。</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甲方（章）           </w:t>
            </w:r>
          </w:p>
          <w:p>
            <w:pPr>
              <w:snapToGrid w:val="0"/>
              <w:spacing w:line="400" w:lineRule="exact"/>
              <w:rPr>
                <w:rFonts w:hint="eastAsia" w:ascii="宋体" w:hAnsi="宋体"/>
                <w:szCs w:val="21"/>
              </w:rPr>
            </w:pPr>
          </w:p>
          <w:p>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乙方（章）              </w:t>
            </w:r>
          </w:p>
          <w:p>
            <w:pPr>
              <w:snapToGrid w:val="0"/>
              <w:spacing w:line="400" w:lineRule="exact"/>
              <w:rPr>
                <w:rFonts w:hint="eastAsia" w:ascii="宋体" w:hAnsi="宋体"/>
                <w:szCs w:val="21"/>
              </w:rPr>
            </w:pPr>
          </w:p>
          <w:p>
            <w:pPr>
              <w:snapToGrid w:val="0"/>
              <w:spacing w:line="400" w:lineRule="exact"/>
              <w:jc w:val="right"/>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电子邮箱：</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rPr>
                <w:rFonts w:ascii="宋体" w:hAnsi="宋体"/>
                <w:szCs w:val="21"/>
              </w:rPr>
            </w:pPr>
            <w:r>
              <w:rPr>
                <w:rFonts w:hint="eastAsia" w:ascii="宋体" w:hAnsi="宋体"/>
                <w:szCs w:val="21"/>
              </w:rPr>
              <w:t>纳税人识别号或统一社会信用代码：</w:t>
            </w:r>
          </w:p>
        </w:tc>
        <w:tc>
          <w:tcPr>
            <w:tcW w:w="4264" w:type="dxa"/>
            <w:noWrap w:val="0"/>
            <w:vAlign w:val="center"/>
          </w:tcPr>
          <w:p>
            <w:pPr>
              <w:snapToGrid w:val="0"/>
              <w:rPr>
                <w:rFonts w:ascii="宋体" w:hAnsi="宋体"/>
                <w:szCs w:val="21"/>
              </w:rPr>
            </w:pPr>
            <w:r>
              <w:rPr>
                <w:rFonts w:hint="eastAsia" w:ascii="宋体" w:hAnsi="宋体"/>
                <w:szCs w:val="21"/>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r>
    </w:tbl>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075E6"/>
    <w:rsid w:val="001556C1"/>
    <w:rsid w:val="003A7E6B"/>
    <w:rsid w:val="003F2F6C"/>
    <w:rsid w:val="00413E5D"/>
    <w:rsid w:val="00456850"/>
    <w:rsid w:val="0049104D"/>
    <w:rsid w:val="00536623"/>
    <w:rsid w:val="006631DE"/>
    <w:rsid w:val="006C21E2"/>
    <w:rsid w:val="007B17C1"/>
    <w:rsid w:val="00894ED8"/>
    <w:rsid w:val="00A43656"/>
    <w:rsid w:val="00AB0DE4"/>
    <w:rsid w:val="00B94C97"/>
    <w:rsid w:val="00BD3E7F"/>
    <w:rsid w:val="00BF726A"/>
    <w:rsid w:val="00F47395"/>
    <w:rsid w:val="027254BE"/>
    <w:rsid w:val="03174655"/>
    <w:rsid w:val="037A0698"/>
    <w:rsid w:val="03FA2146"/>
    <w:rsid w:val="04654FA9"/>
    <w:rsid w:val="04BF7FA8"/>
    <w:rsid w:val="071006E6"/>
    <w:rsid w:val="0ADE262C"/>
    <w:rsid w:val="0D58241A"/>
    <w:rsid w:val="0E6E2B8C"/>
    <w:rsid w:val="0F701C27"/>
    <w:rsid w:val="108C4C85"/>
    <w:rsid w:val="120A1566"/>
    <w:rsid w:val="131862D2"/>
    <w:rsid w:val="13E839A6"/>
    <w:rsid w:val="1594272B"/>
    <w:rsid w:val="163F33D6"/>
    <w:rsid w:val="16AB0CF2"/>
    <w:rsid w:val="1A03787B"/>
    <w:rsid w:val="1A2062D4"/>
    <w:rsid w:val="1AAC74FC"/>
    <w:rsid w:val="1B9136B5"/>
    <w:rsid w:val="1BAE44F4"/>
    <w:rsid w:val="1EC07996"/>
    <w:rsid w:val="1EF44979"/>
    <w:rsid w:val="20FB20A1"/>
    <w:rsid w:val="219B4951"/>
    <w:rsid w:val="25EB6307"/>
    <w:rsid w:val="29B12ACC"/>
    <w:rsid w:val="2D445499"/>
    <w:rsid w:val="2D884443"/>
    <w:rsid w:val="2E4273FD"/>
    <w:rsid w:val="2EC85078"/>
    <w:rsid w:val="30383746"/>
    <w:rsid w:val="31E374A5"/>
    <w:rsid w:val="327E7157"/>
    <w:rsid w:val="32C33C3C"/>
    <w:rsid w:val="3354324F"/>
    <w:rsid w:val="377948D5"/>
    <w:rsid w:val="377F062E"/>
    <w:rsid w:val="39C52295"/>
    <w:rsid w:val="3BF558BD"/>
    <w:rsid w:val="3CE014E1"/>
    <w:rsid w:val="3D034EBD"/>
    <w:rsid w:val="43745174"/>
    <w:rsid w:val="44237766"/>
    <w:rsid w:val="44F075E6"/>
    <w:rsid w:val="47A979E5"/>
    <w:rsid w:val="4A637A1C"/>
    <w:rsid w:val="4A8E02BD"/>
    <w:rsid w:val="4AB42602"/>
    <w:rsid w:val="4AC976E9"/>
    <w:rsid w:val="4CC613C9"/>
    <w:rsid w:val="4D4349B5"/>
    <w:rsid w:val="4DCC6787"/>
    <w:rsid w:val="4E803427"/>
    <w:rsid w:val="4F6B7BCC"/>
    <w:rsid w:val="503F4C84"/>
    <w:rsid w:val="50C77A25"/>
    <w:rsid w:val="50ED3B12"/>
    <w:rsid w:val="52D629B4"/>
    <w:rsid w:val="541972B7"/>
    <w:rsid w:val="57D621E3"/>
    <w:rsid w:val="57E225F1"/>
    <w:rsid w:val="57E35EC5"/>
    <w:rsid w:val="58D63B4C"/>
    <w:rsid w:val="58EB416C"/>
    <w:rsid w:val="5DC10485"/>
    <w:rsid w:val="5E5A0D57"/>
    <w:rsid w:val="64854B24"/>
    <w:rsid w:val="67560E68"/>
    <w:rsid w:val="694A6B43"/>
    <w:rsid w:val="6B504408"/>
    <w:rsid w:val="6D4B77D9"/>
    <w:rsid w:val="6D8B2499"/>
    <w:rsid w:val="6EF80D27"/>
    <w:rsid w:val="70F432F3"/>
    <w:rsid w:val="731931A5"/>
    <w:rsid w:val="746B3455"/>
    <w:rsid w:val="74DA3B6C"/>
    <w:rsid w:val="76444463"/>
    <w:rsid w:val="7A646BF7"/>
    <w:rsid w:val="7EFC1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qFormat/>
    <w:uiPriority w:val="99"/>
    <w:pPr>
      <w:spacing w:after="120"/>
    </w:pPr>
  </w:style>
  <w:style w:type="paragraph" w:styleId="4">
    <w:name w:val="Body Text Indent"/>
    <w:basedOn w:val="1"/>
    <w:uiPriority w:val="0"/>
    <w:pPr>
      <w:tabs>
        <w:tab w:val="left" w:pos="420"/>
      </w:tabs>
      <w:spacing w:line="360" w:lineRule="auto"/>
      <w:ind w:left="420" w:firstLine="420" w:firstLineChars="200"/>
    </w:pPr>
  </w:style>
  <w:style w:type="paragraph" w:styleId="5">
    <w:name w:val="Plain Text"/>
    <w:basedOn w:val="1"/>
    <w:qFormat/>
    <w:uiPriority w:val="0"/>
    <w:rPr>
      <w:rFonts w:ascii="宋体" w:hAnsi="Courier New"/>
      <w:kern w:val="0"/>
      <w:sz w:val="20"/>
      <w:szCs w:val="21"/>
    </w:rPr>
  </w:style>
  <w:style w:type="paragraph" w:styleId="6">
    <w:name w:val="Balloon Text"/>
    <w:basedOn w:val="1"/>
    <w:link w:val="17"/>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font21"/>
    <w:basedOn w:val="12"/>
    <w:qFormat/>
    <w:uiPriority w:val="0"/>
    <w:rPr>
      <w:rFonts w:hint="eastAsia" w:ascii="宋体" w:hAnsi="宋体" w:eastAsia="宋体" w:cs="宋体"/>
      <w:color w:val="000000"/>
      <w:sz w:val="21"/>
      <w:szCs w:val="21"/>
      <w:u w:val="none"/>
    </w:rPr>
  </w:style>
  <w:style w:type="character" w:customStyle="1" w:styleId="16">
    <w:name w:val="font11"/>
    <w:basedOn w:val="12"/>
    <w:qFormat/>
    <w:uiPriority w:val="0"/>
    <w:rPr>
      <w:rFonts w:ascii="Calibri" w:hAnsi="Calibri" w:cs="Calibri"/>
      <w:color w:val="000000"/>
      <w:sz w:val="21"/>
      <w:szCs w:val="21"/>
      <w:u w:val="none"/>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8">
    <w:name w:val="页眉 Char"/>
    <w:basedOn w:val="12"/>
    <w:link w:val="8"/>
    <w:qFormat/>
    <w:uiPriority w:val="0"/>
    <w:rPr>
      <w:rFonts w:asciiTheme="minorHAnsi" w:hAnsiTheme="minorHAnsi" w:eastAsiaTheme="minorEastAsia" w:cstheme="minorBidi"/>
      <w:kern w:val="2"/>
      <w:sz w:val="18"/>
      <w:szCs w:val="18"/>
    </w:rPr>
  </w:style>
  <w:style w:type="character" w:customStyle="1" w:styleId="19">
    <w:name w:val="页脚 Char"/>
    <w:basedOn w:val="12"/>
    <w:link w:val="7"/>
    <w:qFormat/>
    <w:uiPriority w:val="0"/>
    <w:rPr>
      <w:rFonts w:asciiTheme="minorHAnsi" w:hAnsiTheme="minorHAnsi" w:eastAsiaTheme="minorEastAsia" w:cstheme="minorBidi"/>
      <w:kern w:val="2"/>
      <w:sz w:val="18"/>
      <w:szCs w:val="18"/>
    </w:rPr>
  </w:style>
  <w:style w:type="character" w:customStyle="1" w:styleId="20">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454</Words>
  <Characters>2592</Characters>
  <Lines>21</Lines>
  <Paragraphs>6</Paragraphs>
  <TotalTime>3</TotalTime>
  <ScaleCrop>false</ScaleCrop>
  <LinksUpToDate>false</LinksUpToDate>
  <CharactersWithSpaces>3040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2018-12-24T08:05:00Z</dcterms:created>
  <dc:creator>小楼◇YL</dc:creator>
  <cp:lastModifiedBy>李克元</cp:lastModifiedBy>
  <cp:lastPrinted>2019-06-24T03:00:00Z</cp:lastPrinted>
  <dcterms:modified xsi:type="dcterms:W3CDTF">2020-12-03T07:31:31Z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