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left"/>
        <w:rPr>
          <w:rFonts w:hint="eastAsia" w:asciiTheme="minorEastAsia" w:hAnsiTheme="minorEastAsia" w:cstheme="minorEastAsia"/>
        </w:rPr>
      </w:pPr>
    </w:p>
    <w:p>
      <w:pPr>
        <w:widowControl/>
        <w:shd w:val="clear" w:color="auto" w:fill="FFFFFF"/>
        <w:spacing w:line="400" w:lineRule="exact"/>
        <w:jc w:val="left"/>
        <w:rPr>
          <w:rFonts w:hint="eastAsia" w:asciiTheme="minorEastAsia" w:hAnsiTheme="minorEastAsia" w:cstheme="minorEastAsia"/>
        </w:rPr>
      </w:pPr>
      <w:r>
        <w:rPr>
          <w:rFonts w:hint="eastAsia" w:asciiTheme="minorEastAsia" w:hAnsiTheme="minorEastAsia" w:cstheme="minorEastAsia"/>
        </w:rPr>
        <w:t>附件</w:t>
      </w:r>
      <w:r>
        <w:rPr>
          <w:rFonts w:hint="eastAsia" w:asciiTheme="minorEastAsia" w:hAnsiTheme="minorEastAsia" w:cstheme="minorEastAsia"/>
          <w:lang w:val="en-US" w:eastAsia="zh-CN"/>
        </w:rPr>
        <w:t>1</w:t>
      </w:r>
      <w:r>
        <w:rPr>
          <w:rFonts w:hint="eastAsia" w:asciiTheme="minorEastAsia" w:hAnsiTheme="minorEastAsia" w:cstheme="minorEastAsia"/>
        </w:rPr>
        <w:t>：服务采购需求</w:t>
      </w:r>
      <w:r>
        <w:rPr>
          <w:rFonts w:hint="eastAsia" w:asciiTheme="minorEastAsia" w:hAnsiTheme="minorEastAsia" w:cstheme="minorEastAsia"/>
        </w:rPr>
        <w:t>表</w:t>
      </w:r>
      <w:bookmarkStart w:id="0" w:name="_GoBack"/>
      <w:bookmarkEnd w:id="0"/>
    </w:p>
    <w:tbl>
      <w:tblPr>
        <w:tblStyle w:val="3"/>
        <w:tblpPr w:leftFromText="180" w:rightFromText="180" w:vertAnchor="text" w:horzAnchor="page" w:tblpX="1372" w:tblpY="19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21"/>
        <w:gridCol w:w="4115"/>
        <w:gridCol w:w="472"/>
        <w:gridCol w:w="450"/>
        <w:gridCol w:w="130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序号</w:t>
            </w:r>
          </w:p>
        </w:tc>
        <w:tc>
          <w:tcPr>
            <w:tcW w:w="921"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货物(服务、工程)名称</w:t>
            </w:r>
          </w:p>
        </w:tc>
        <w:tc>
          <w:tcPr>
            <w:tcW w:w="4115"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采购要求</w:t>
            </w:r>
          </w:p>
        </w:tc>
        <w:tc>
          <w:tcPr>
            <w:tcW w:w="472"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单位</w:t>
            </w:r>
          </w:p>
        </w:tc>
        <w:tc>
          <w:tcPr>
            <w:tcW w:w="450"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数量</w:t>
            </w:r>
          </w:p>
        </w:tc>
        <w:tc>
          <w:tcPr>
            <w:tcW w:w="1305"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单价（元）</w:t>
            </w:r>
          </w:p>
        </w:tc>
        <w:tc>
          <w:tcPr>
            <w:tcW w:w="1335"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bCs/>
                <w:color w:val="000000"/>
                <w:kern w:val="0"/>
                <w:sz w:val="22"/>
                <w:szCs w:val="2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吉利帝豪EV300车载充电机</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直流公插口1个；交流公插口1个；压缩机接口1个；PTC加热器接口1个；</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工作电压：210～235V。★吉利帝豪原厂纯正部件，能与教学车辆完美配套使用。</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汽车运用与维修汽车营销评估与金融保险服务技术 中级模块考评 </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物料包</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包含：工具夹、三/六件套、丝绸手套、麻布手套、计算器、A4纸、笔、座机、垃圾桶、灭火器、桌签（工位）、桌签（评委席）、标尺（卷尺）、手电筒、零件盒等。</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汽车运用与维修汽车营销评估与金融保险服务技术 中级模块考评</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资源资料包</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机动车发票1个、机动车行驶证2个、机动车登记证1个、交强险单200份、机动车商业保险单200份、交强险单正本200份、机动车商业保险单正本200份、车船税缴付凭证1个、车辆购置税完税证明1个、机动车辆保险定损报告1个、防伪易碎标签1个、机动车辆保险旧件回收单1个、身份证1个、驾驶证1个、评分表1600份（每个工位400份，内容不同）。</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蓄电池检测仪</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适应电瓶类型：适合汽车/电动车/UPS电瓶   适用电池：12V/24V    电池范围：3AH-250AH   CCA测量：支持    电压测量：支持    内阻测量：支持   电量测量：支持     LCD显示：点阵   其他功能：启动机系统启动负荷测试、MAX负载系统测试、充电系统测试</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胎压计检测仪</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胎压量程：0.21-8.27BAR（25℃）   精确度：±0.1BAR</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LCD显示屏：读数显示       内置电池：纽扣电池CR2032</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空调检测仪</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测量范围：-50℃-300℃（-58℉-572℉）     测量单位：℃/℉     分辨率：0.1℃（0.1℉）</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测试精度：±1℃ OR 2℉（0℃-80℃）±5℃   使用电池：DC1.5V AG13    整机尺寸：330mm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探杆长度：150mm     显示尺寸：21.3×8.5mm</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sz w:val="21"/>
                <w:szCs w:val="21"/>
                <w:highlight w:val="none"/>
              </w:rPr>
            </w:pPr>
            <w:r>
              <w:rPr>
                <w:rFonts w:hint="eastAsia" w:ascii="宋体" w:hAnsi="宋体" w:eastAsia="宋体" w:cs="宋体"/>
                <w:i w:val="0"/>
                <w:color w:val="000000"/>
                <w:kern w:val="0"/>
                <w:sz w:val="21"/>
                <w:szCs w:val="21"/>
                <w:highlight w:val="none"/>
                <w:u w:val="none"/>
                <w:lang w:val="en-US" w:eastAsia="zh-CN" w:bidi="ar"/>
              </w:rPr>
              <w:t>刹车片厚度尺</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型号：刹车片厚度尺    用途：测试刹车片的厚度     外观尺寸：200mm×153mm      重量：250g</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材质：金属     适用范围：测试刹车片的厚度</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刹车油含水量检测仪</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类型：油液质量检测仪      检测系统：刹车      工作温度：-10-50℃   外形尺寸：160*45*33（mm）     测试油范围：DOT3、DOT4、DOT5.1     供电电池：2节7号电池</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金属蛇皮管：190mm   设备重量：约155g（含电池）     设备具有低电提示及报警提示音功能</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汽车听诊器</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频率： 100HZ-10KHZ     音量：通过旋钮可调节     蜂鸣器功率：8W  产品的重量：240克（含电池</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电源：9V 干电池一节（大约可工作30小时）    产品的材料：ABS    工作温度：-10-55℃    包装尺寸：206×50×32 mm   探测棒：1×290 mm, 1×70 mm (长度)   探测棒材料：钢</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漆膜厚度分析仪</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范围：0-1500um     分辨率：0.1um(0-99um)；1um（100-1500um）   精度：±（1.8%um±2um）（0-500um）；±（2.2%um±2um）（500-1500um）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测量重复性：±1um 0-500um；±2um 500-1500um     仪器重现性：±1um 0-500um；±2um 500-1500um</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11</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多功能万用表</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直流电压：200mV~1000V(±0.5%+3)</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交流电压：2V~750V(±0.8%+5)</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直流电流：200μA~20A(±0.8%+10)</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交流电流：20mA~20A(±2.0%+5)</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电阻：200Ω~20MΩ(±0.8%+3)</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电容：2nF~20000μF(±2.5%+20)</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温度：(-20~1000) ℃</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支持背光显示、数据支持、低电压显示、自动关机、真有效测量、手动测量、二极管测试、三极管测试、通断报警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最大显示：1999（31/2位）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交流电压频响：（40-1k）Hz</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输入阻抗：10 MΩ</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机身尺寸：175*93*55mm</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机身重量：约120g（含电池）</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录音笔</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录音模式：MP3    录音格式：MP3、WMA    录音时间：21000分钟  最大录音文件数：999</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存储卡类型：TF卡    显示屏：单色显示屏</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13</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倒计时器</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颜色分类: 1英寸4位红      功能：时间、正计时、倒计时    供电方式：插电供电        供电：220V交流电，12V适配器   尺寸：15.5*5.5*2cm    控制方式：默认遥控    安装：三脚架    显示方式: LED电子显示</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14</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平板电脑</w:t>
            </w:r>
          </w:p>
        </w:tc>
        <w:tc>
          <w:tcPr>
            <w:tcW w:w="41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品牌：华为    安卓系统：   操作系统为Android 7.0系统；输入法包括搜狗拼音、智能ABC、微软拼音、五笔；   硬件配置：    网络：无线局域网   尺寸：243mm*164mm*7.8    存储容量   128GB     系统内存    4GB以上    屏幕尺寸10.1英寸    屏幕分辨率1920x1200     屏幕比例16:10   指取设备触摸     摄像头有     前置摄像头200w     后置摄像头800w以上   多点触控支持    电池类型锂电池</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15</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摄像头</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有线无线混接监控设备，自带WiFi热点，双天线设计，WiFi更稳定；双向对讲，记录有声画面；三种存储方式，方便边拍边录。</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维修三件套</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一次性汽车维修车内三件套</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批</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17</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车技通二手车鉴定评估考核系统升级服务</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考核系统以汽车后市场的广阔业界为背景，针对二手车鉴定评估领域的工作岗位，可以辅助二手车鉴定评估师出具二手车鉴定评估报告。考察考生对二手车鉴定评估基本工作情境中的基础技能的灵活掌握和实际操作水平。</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2.考核系统以二手车鉴定评估师岗位工作流程为核心，以实际工作任务为载体，以《二手车鉴定评估技术规范GB/T30323-2013》为依据，具备二手车接受委托流程、查验可交易车辆登记流程、记录车辆基本信息流程、判别事故车登记流程、鉴定技术状况登记流程、评估车辆价值流程、报告打印、报告归档等功能。系统可自动生成的单据有：二手车鉴定评估委托书、二手车鉴定评估作业表、二手车鉴定评估报告等。</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3.系统具备完善的注释提醒功能，帮助使用者能够清晰的完成鉴定评估流程过程。</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★4.系统可扫描乘用车VIN码及委托交易人身份证，识别乘用车VIN码及身份证信息并判断车辆的真实性及委托交易人的合法性。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5.系统具备二手车价格查询功能，初步判断车辆的市场价格。</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6.系统具备智能数字拍照功能，可识别车辆证件并读取信息自动录入，如：机动车登记证书、机动车行驶证、车辆购置税完税证明、车船税完税凭证的拍照录入功能。可完成车辆技术状况图片的拍照录入整理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★7.为满足考核要求，系统支持一车一考的管理模式，为实现二手车鉴定评估考核提供公平的数据基础。根据考核要求可对考生出具的鉴定评估报告及二手车鉴定评估作业流程进行系统自动评价。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★8.二手车鉴定评估作业流程：二手车接受委托流程、查验可交易车辆登记流程、记录车辆基本信息流程、判别事故车登记流程、鉴定技术状况登记流程、评估车辆价值流程六大考核模块。</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8.1二手车接受委托流程：含有二手车鉴定评估委托书，系统提供拍照扫描、信息调用等功能，考生进行二手鉴定评估委托书信息录入。同时可进行暂存、修改、查看、作废。在鉴定评估的过程中可以随时查看委托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8.2查验可交易车辆登记流程：考生可根据业务资料（车辆单证等）及系统中的可交易车辆判别表，对被评估车辆进行查验。</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8.3记录车辆基本信息流程：含有车主信息、车辆基本信息及车辆配置信息。考生可根据业务资料调用车主信息，并且通过系统中给出的车型配置库，选择被评估车辆配置信息，完成车辆基本信息的录入。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8.4判别事故车登记流程：含车体骨架检查项目表。考生可根据现场被评估车辆的情况对车辆进行查验，完成该车是否为事故车的判别。</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8.5鉴定技术状况登记流程：含车身外观检查项目表、发动机舱检查项目表、驾驶舱检查项目表、行李舱检查项目表、底盘检查项目表、启动检查项目表及路试检查项目表。考生可根据被评估车辆检查结果，对检查项目表中的描述及评分点进行填选，并且对检查部位、检查问题进行拍照，并将检查结果进行上传。根据被评估车辆所得分值判断该车技术状况等级。系统自动生成二手车鉴定评估作业表。针对每个检查项目表，可进行暂存、修改、查看、作废。</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8.6评估车辆价值流程：系统可完成二手车价值评估，考生可选择的方法包含重置成本法、现行市价法等。最终系统自动生成二手车鉴定评估报告。系统具备鉴定报告查询、打印功能，也可根据车辆信息查询已归档鉴定评估报告。</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9.为满足二手车技术鉴定需求，系统具备查询车辆维保信息功能。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10.为满足二手车技术鉴定及交易需求，系统具备查询车辆违章信息功能。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11.为满足二手车技术鉴定及交易需求，系统具备查询车辆保险信息功能。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★12. 系统支持PC端和移动端使用。移动端具备拍照、信息录入、查询以及工作引导等功能。</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★13为满足考核要求，系统具备完善的考核管理模块，可进行用户管理、车型管理、车辆管理、二手车市场价格管理，还可进行基础信息管理、试题管理、考试管理、在线用户管理和查询考试日志等。</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18</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摄像机锂电池</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锂电池标准电压3.7V   充电限制电压4.2V  3000mAH</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SD卡</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64g内存卡高速tf卡    摄像机内存专用卡</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蓄电池</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12V60AH   瓦尔塔(VARTA)汽车电瓶蓄电池蓝标56318</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21</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塞尺</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SATA世达塞尺14件套公英制不锈钢塞尺</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22</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护目镜</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3M护目镜透明化工实验室防护眼镜农药防风烟雾打磨粉尘飞溅平光镜</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23</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汽油</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95号</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升</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24</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无纺布</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工业无纺布200米</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卷</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工位牌等</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三个考评模块的工位牌、轮转表、横幅、复印资料等，1+x证书等级制度相关文化展示挂板，考核场地1+x相关考核工位隔断海报  考核场地1+x相关考核工位标识  根据技能证书评价标准要求定制</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批</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手套</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棉布手套</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副</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27</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毛巾</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常规</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28</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数显角度仪</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SHINWA 76447 日本企鹅牌</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绝缘手套</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安全牌（AN QUAN PAI）S012 12KV高压带电作业绝缘手套</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双</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30</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安全帽</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世达 SATA TF0202R V顶ABS透气安全帽</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顶</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31</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绝缘垫</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6mm厚度，高压电力10kv绝缘垫  1000*5000mm</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张</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6</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32</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插排</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5位分控5米线</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33</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扩音器</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APORO T9 2.4G无线领夹式加长版</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34</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头戴式云台相机</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欧达 ORDRO 头戴式运动摄像机云台相机4K云台增稳 vlog妙拍EP7</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35</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绝缘表</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福禄克（FLUKE）F1503 手持式绝缘测试仪</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套</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36</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汽车启动充电电源</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汽车启动充电电源  采用环形节能整流变压器及大功率整流器件制造，设计有过载、过流、短路保护是节能型充电机；有多档输出电压选择，充电电流可调，适用于各种车辆的6V、12V、24V电瓶的快、慢速充电。使用单相220V电源输入  充电电流50A  起动电流750A瞬时</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37</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汽车应急启动电源</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12V汽车应急启动电源，可充电锂电池，500-1000A启动电流 安全不爆炸，免维护无自放电，有电压显示，25000MAH左右，最大充电电流20A</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台</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5</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38</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机油</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汽车专用 5W-30SN</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桶</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39</w:t>
            </w:r>
          </w:p>
        </w:tc>
        <w:tc>
          <w:tcPr>
            <w:tcW w:w="92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火花塞</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三菱4G63、大众汽车专用</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支</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25</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白纸</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A4晨光打印纸70g</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包</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41</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计算器</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计算器</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42</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水性笔</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0.5mm、红色20支、黑色30支</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支</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43</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铅笔</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HB</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支</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44</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抽纸</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本色纸</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包</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45</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夹板</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A4塑料</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46</w:t>
            </w:r>
          </w:p>
        </w:tc>
        <w:tc>
          <w:tcPr>
            <w:tcW w:w="9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电池</w:t>
            </w:r>
          </w:p>
        </w:tc>
        <w:tc>
          <w:tcPr>
            <w:tcW w:w="41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万用表专用9V</w:t>
            </w:r>
          </w:p>
        </w:tc>
        <w:tc>
          <w:tcPr>
            <w:tcW w:w="47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4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335" w:type="dxa"/>
            <w:noWrap w:val="0"/>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2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2640" w:firstLineChars="110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报价合计（元）</w:t>
            </w:r>
          </w:p>
        </w:tc>
        <w:tc>
          <w:tcPr>
            <w:tcW w:w="2640"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bl>
    <w:p>
      <w:pPr>
        <w:widowControl/>
        <w:shd w:val="clear" w:color="auto" w:fill="FFFFFF"/>
        <w:spacing w:line="400" w:lineRule="exact"/>
        <w:jc w:val="left"/>
        <w:rPr>
          <w:rFonts w:hint="eastAsia" w:asciiTheme="minorEastAsia" w:hAnsiTheme="minorEastAsia" w:cstheme="minorEastAsia"/>
        </w:rPr>
      </w:pPr>
    </w:p>
    <w:p>
      <w:pPr>
        <w:widowControl/>
        <w:shd w:val="clear" w:color="auto" w:fill="FFFFFF"/>
        <w:spacing w:line="400" w:lineRule="exact"/>
        <w:jc w:val="left"/>
        <w:rPr>
          <w:rFonts w:hint="eastAsia" w:asciiTheme="minorEastAsia" w:hAnsiTheme="minorEastAsia" w:cstheme="minorEastAsia"/>
        </w:rPr>
      </w:pPr>
    </w:p>
    <w:p>
      <w:pPr>
        <w:pStyle w:val="2"/>
        <w:widowControl/>
        <w:shd w:val="clear" w:color="auto" w:fill="FFFFFF"/>
        <w:spacing w:line="500" w:lineRule="exact"/>
        <w:rPr>
          <w:rFonts w:asciiTheme="minorEastAsia" w:hAnsiTheme="minorEastAsia" w:cstheme="minorEastAsia"/>
        </w:rPr>
      </w:pPr>
    </w:p>
    <w:p>
      <w:pPr>
        <w:pStyle w:val="2"/>
        <w:widowControl/>
        <w:shd w:val="clear" w:color="auto" w:fill="FFFFFF"/>
        <w:spacing w:line="500" w:lineRule="exact"/>
        <w:ind w:firstLine="5180"/>
        <w:rPr>
          <w:rFonts w:asciiTheme="minorEastAsia" w:hAnsiTheme="minorEastAsia" w:cstheme="minorEastAsia"/>
        </w:rPr>
      </w:pPr>
      <w:r>
        <w:rPr>
          <w:rFonts w:hint="eastAsia" w:asciiTheme="minorEastAsia" w:hAnsiTheme="minorEastAsia" w:cstheme="minorEastAsia"/>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B70A1"/>
    <w:rsid w:val="2E3B70A1"/>
    <w:rsid w:val="4F88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2020-11-06T01:31:00Z</dcterms:created>
  <dc:creator>李克元</dc:creator>
  <cp:lastModifiedBy>李克元</cp:lastModifiedBy>
  <dcterms:modified xsi:type="dcterms:W3CDTF">2020-11-11T07:19:13Z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