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仿宋" w:hAnsi="仿宋" w:eastAsia="仿宋" w:cs="仿宋"/>
          <w:b/>
          <w:color w:val="auto"/>
          <w:sz w:val="32"/>
          <w:szCs w:val="32"/>
          <w:lang w:val="en-US" w:eastAsia="zh-CN"/>
        </w:rPr>
      </w:pPr>
      <w:r>
        <w:rPr>
          <w:rFonts w:hint="eastAsia" w:ascii="仿宋" w:hAnsi="仿宋" w:eastAsia="仿宋" w:cs="仿宋"/>
          <w:b/>
          <w:color w:val="auto"/>
          <w:sz w:val="30"/>
          <w:szCs w:val="30"/>
          <w:lang w:val="en-US" w:eastAsia="zh-CN"/>
        </w:rPr>
        <w:t xml:space="preserve"> 附件2： 合同样本     </w:t>
      </w:r>
      <w:r>
        <w:rPr>
          <w:rFonts w:hint="eastAsia" w:ascii="仿宋" w:hAnsi="仿宋" w:eastAsia="仿宋" w:cs="仿宋"/>
          <w:b/>
          <w:color w:val="auto"/>
          <w:sz w:val="32"/>
          <w:szCs w:val="32"/>
          <w:lang w:val="en-US" w:eastAsia="zh-CN"/>
        </w:rPr>
        <w:t xml:space="preserve"> </w:t>
      </w:r>
    </w:p>
    <w:p>
      <w:pPr>
        <w:spacing w:line="480" w:lineRule="exact"/>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航海工程学院202</w:t>
      </w:r>
      <w:r>
        <w:rPr>
          <w:rFonts w:hint="eastAsia" w:ascii="仿宋" w:hAnsi="仿宋" w:eastAsia="仿宋" w:cs="仿宋"/>
          <w:b/>
          <w:color w:val="auto"/>
          <w:sz w:val="32"/>
          <w:szCs w:val="32"/>
          <w:lang w:val="en-US" w:eastAsia="zh-CN"/>
        </w:rPr>
        <w:t>2</w:t>
      </w:r>
      <w:r>
        <w:rPr>
          <w:rFonts w:hint="eastAsia" w:ascii="仿宋" w:hAnsi="仿宋" w:eastAsia="仿宋" w:cs="仿宋"/>
          <w:b/>
          <w:color w:val="auto"/>
          <w:sz w:val="32"/>
          <w:szCs w:val="32"/>
          <w:lang w:eastAsia="zh-CN"/>
        </w:rPr>
        <w:t>年</w:t>
      </w:r>
      <w:r>
        <w:rPr>
          <w:rFonts w:hint="eastAsia" w:ascii="仿宋" w:hAnsi="仿宋" w:eastAsia="仿宋" w:cs="仿宋"/>
          <w:b/>
          <w:color w:val="auto"/>
          <w:sz w:val="32"/>
          <w:szCs w:val="32"/>
          <w:lang w:val="en-US" w:eastAsia="zh-CN"/>
        </w:rPr>
        <w:t>教学</w:t>
      </w:r>
      <w:r>
        <w:rPr>
          <w:rFonts w:hint="eastAsia" w:ascii="仿宋" w:hAnsi="仿宋" w:eastAsia="仿宋" w:cs="仿宋"/>
          <w:b/>
          <w:color w:val="auto"/>
          <w:sz w:val="32"/>
          <w:szCs w:val="32"/>
          <w:lang w:eastAsia="zh-CN"/>
        </w:rPr>
        <w:t>耗材</w:t>
      </w:r>
    </w:p>
    <w:p>
      <w:pPr>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采购</w:t>
      </w:r>
      <w:r>
        <w:rPr>
          <w:rFonts w:hint="eastAsia" w:ascii="仿宋" w:hAnsi="仿宋" w:eastAsia="仿宋" w:cs="仿宋"/>
          <w:b/>
          <w:color w:val="auto"/>
          <w:sz w:val="32"/>
          <w:szCs w:val="32"/>
          <w:lang w:eastAsia="zh-CN"/>
        </w:rPr>
        <w:t>项目</w:t>
      </w:r>
      <w:r>
        <w:rPr>
          <w:rFonts w:hint="eastAsia" w:ascii="仿宋" w:hAnsi="仿宋" w:eastAsia="仿宋" w:cs="仿宋"/>
          <w:b/>
          <w:color w:val="auto"/>
          <w:sz w:val="32"/>
          <w:szCs w:val="32"/>
        </w:rPr>
        <w:t>协议书</w:t>
      </w:r>
    </w:p>
    <w:p>
      <w:pPr>
        <w:snapToGrid w:val="0"/>
        <w:spacing w:line="400" w:lineRule="exact"/>
        <w:rPr>
          <w:rFonts w:hint="eastAsia" w:ascii="宋体" w:hAnsi="宋体"/>
          <w:szCs w:val="21"/>
        </w:rPr>
      </w:pPr>
    </w:p>
    <w:p>
      <w:pPr>
        <w:pStyle w:val="2"/>
        <w:rPr>
          <w:rFonts w:hint="eastAsia"/>
        </w:rPr>
      </w:pPr>
    </w:p>
    <w:p>
      <w:pPr>
        <w:snapToGrid w:val="0"/>
        <w:spacing w:line="400" w:lineRule="exact"/>
        <w:rPr>
          <w:rFonts w:hint="eastAsia" w:ascii="宋体" w:hAnsi="宋体"/>
          <w:szCs w:val="21"/>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u w:val="single"/>
          <w:lang w:val="en-US" w:eastAsia="zh-CN"/>
        </w:rPr>
        <w:t>广西交通职业技术学院</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u w:val="single"/>
          <w:lang w:val="en-US" w:eastAsia="zh-CN"/>
        </w:rPr>
        <w:t>广西南宁</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签 订 时 间</w:t>
      </w:r>
      <w:r>
        <w:rPr>
          <w:rFonts w:hint="eastAsia" w:ascii="宋体" w:hAnsi="宋体"/>
          <w:szCs w:val="21"/>
          <w:u w:val="single"/>
        </w:rPr>
        <w:t xml:space="preserve">                    </w:t>
      </w:r>
      <w:bookmarkStart w:id="0" w:name="_GoBack"/>
      <w:bookmarkEnd w:id="0"/>
    </w:p>
    <w:p>
      <w:pPr>
        <w:snapToGrid w:val="0"/>
        <w:spacing w:line="400" w:lineRule="exact"/>
        <w:ind w:firstLine="420" w:firstLineChars="200"/>
        <w:rPr>
          <w:rFonts w:hint="eastAsia" w:ascii="宋体" w:hAnsi="宋体"/>
          <w:szCs w:val="21"/>
        </w:rPr>
      </w:pPr>
    </w:p>
    <w:p>
      <w:pPr>
        <w:snapToGrid w:val="0"/>
        <w:spacing w:line="400" w:lineRule="exact"/>
        <w:ind w:firstLine="420" w:firstLineChars="200"/>
        <w:rPr>
          <w:rFonts w:hint="eastAsia"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hint="eastAsia" w:ascii="宋体" w:hAnsi="宋体"/>
          <w:b/>
          <w:szCs w:val="21"/>
        </w:rPr>
      </w:pPr>
      <w:r>
        <w:rPr>
          <w:rFonts w:hint="eastAsia" w:ascii="宋体" w:hAnsi="宋体"/>
          <w:b/>
          <w:szCs w:val="21"/>
        </w:rPr>
        <w:t>第一条　合同标的</w:t>
      </w:r>
    </w:p>
    <w:p>
      <w:pPr>
        <w:snapToGrid w:val="0"/>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供货一览表</w:t>
      </w:r>
    </w:p>
    <w:tbl>
      <w:tblPr>
        <w:tblStyle w:val="7"/>
        <w:tblW w:w="8631" w:type="dxa"/>
        <w:tblInd w:w="93" w:type="dxa"/>
        <w:shd w:val="clear" w:color="auto" w:fill="auto"/>
        <w:tblLayout w:type="fixed"/>
        <w:tblCellMar>
          <w:top w:w="0" w:type="dxa"/>
          <w:left w:w="108" w:type="dxa"/>
          <w:bottom w:w="0" w:type="dxa"/>
          <w:right w:w="108" w:type="dxa"/>
        </w:tblCellMar>
      </w:tblPr>
      <w:tblGrid>
        <w:gridCol w:w="656"/>
        <w:gridCol w:w="1710"/>
        <w:gridCol w:w="2590"/>
        <w:gridCol w:w="945"/>
        <w:gridCol w:w="780"/>
        <w:gridCol w:w="945"/>
        <w:gridCol w:w="1005"/>
      </w:tblGrid>
      <w:tr>
        <w:tblPrEx>
          <w:shd w:val="clear" w:color="auto" w:fill="auto"/>
          <w:tblCellMar>
            <w:top w:w="0" w:type="dxa"/>
            <w:left w:w="108" w:type="dxa"/>
            <w:bottom w:w="0" w:type="dxa"/>
            <w:right w:w="108" w:type="dxa"/>
          </w:tblCellMar>
        </w:tblPrEx>
        <w:trPr>
          <w:trHeight w:val="345" w:hRule="atLeast"/>
        </w:trPr>
        <w:tc>
          <w:tcPr>
            <w:tcW w:w="8631"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w:t>
            </w:r>
          </w:p>
        </w:tc>
      </w:tr>
      <w:tr>
        <w:tblPrEx>
          <w:tblCellMar>
            <w:top w:w="0" w:type="dxa"/>
            <w:left w:w="108" w:type="dxa"/>
            <w:bottom w:w="0" w:type="dxa"/>
            <w:right w:w="108" w:type="dxa"/>
          </w:tblCellMar>
        </w:tblPrEx>
        <w:trPr>
          <w:trHeight w:val="10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货物（服务、工程）名称</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金额合计（元）</w:t>
            </w: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ind w:left="0" w:leftChars="0" w:firstLine="0" w:firstLineChars="0"/>
        <w:rPr>
          <w:rFonts w:hint="eastAsia"/>
          <w:color w:val="auto"/>
        </w:rPr>
      </w:pPr>
    </w:p>
    <w:p>
      <w:pPr>
        <w:snapToGrid w:val="0"/>
        <w:spacing w:line="400" w:lineRule="exact"/>
        <w:ind w:right="52" w:firstLine="420" w:firstLineChars="200"/>
        <w:rPr>
          <w:rFonts w:hint="eastAsia" w:ascii="宋体" w:hAnsi="宋体" w:eastAsiaTheme="minorEastAsia"/>
          <w:color w:val="auto"/>
          <w:szCs w:val="21"/>
          <w:lang w:eastAsia="zh-CN"/>
        </w:rPr>
      </w:pPr>
      <w:r>
        <w:rPr>
          <w:rFonts w:hint="eastAsia" w:ascii="宋体" w:hAnsi="宋体"/>
          <w:color w:val="auto"/>
          <w:szCs w:val="21"/>
        </w:rPr>
        <w:t>2、合同合计金额包括货物价款，备件、专用工具、安装、调试、检验、技术培训及技术资料和包装、运输</w:t>
      </w:r>
      <w:r>
        <w:rPr>
          <w:rFonts w:hint="eastAsia" w:ascii="宋体" w:hAnsi="宋体"/>
          <w:color w:val="auto"/>
          <w:szCs w:val="21"/>
          <w:lang w:eastAsia="zh-CN"/>
        </w:rPr>
        <w:t>、</w:t>
      </w:r>
      <w:r>
        <w:rPr>
          <w:rFonts w:hint="eastAsia" w:ascii="宋体" w:hAnsi="宋体"/>
          <w:color w:val="auto"/>
          <w:szCs w:val="21"/>
          <w:lang w:val="en-US" w:eastAsia="zh-CN"/>
        </w:rPr>
        <w:t>税金</w:t>
      </w:r>
      <w:r>
        <w:rPr>
          <w:rFonts w:hint="eastAsia" w:ascii="宋体" w:hAnsi="宋体"/>
          <w:color w:val="auto"/>
          <w:szCs w:val="21"/>
        </w:rPr>
        <w:t>等全部费用。</w:t>
      </w:r>
      <w:r>
        <w:rPr>
          <w:rFonts w:hint="eastAsia" w:ascii="宋体" w:hAnsi="宋体"/>
          <w:color w:val="auto"/>
          <w:szCs w:val="21"/>
          <w:lang w:eastAsia="zh-CN"/>
        </w:rPr>
        <w:t>（</w:t>
      </w:r>
      <w:r>
        <w:rPr>
          <w:rFonts w:hint="eastAsia" w:ascii="宋体" w:hAnsi="宋体"/>
          <w:color w:val="auto"/>
          <w:szCs w:val="21"/>
          <w:lang w:val="en-US" w:eastAsia="zh-CN"/>
        </w:rPr>
        <w:t>根据实践来填</w:t>
      </w:r>
      <w:r>
        <w:rPr>
          <w:rFonts w:hint="eastAsia" w:ascii="宋体" w:hAnsi="宋体"/>
          <w:color w:val="auto"/>
          <w:szCs w:val="21"/>
          <w:lang w:eastAsia="zh-CN"/>
        </w:rPr>
        <w:t>）</w:t>
      </w:r>
    </w:p>
    <w:p>
      <w:pPr>
        <w:snapToGrid w:val="0"/>
        <w:spacing w:line="400" w:lineRule="exact"/>
        <w:ind w:firstLine="422" w:firstLineChars="200"/>
        <w:rPr>
          <w:rFonts w:hint="eastAsia" w:ascii="宋体" w:hAnsi="宋体"/>
          <w:color w:val="auto"/>
          <w:szCs w:val="21"/>
        </w:rPr>
      </w:pPr>
      <w:r>
        <w:rPr>
          <w:rFonts w:hint="eastAsia" w:ascii="宋体" w:hAnsi="宋体"/>
          <w:b/>
          <w:color w:val="auto"/>
          <w:szCs w:val="21"/>
        </w:rPr>
        <w:t>第二条　质量保证</w:t>
      </w:r>
    </w:p>
    <w:p>
      <w:pPr>
        <w:snapToGrid w:val="0"/>
        <w:spacing w:line="400" w:lineRule="exact"/>
        <w:ind w:firstLine="420" w:firstLineChars="200"/>
        <w:rPr>
          <w:rFonts w:hint="eastAsia" w:ascii="宋体" w:hAnsi="宋体"/>
          <w:szCs w:val="21"/>
        </w:rPr>
      </w:pPr>
      <w:r>
        <w:rPr>
          <w:rFonts w:hint="eastAsia" w:ascii="宋体" w:hAnsi="宋体"/>
          <w:szCs w:val="21"/>
        </w:rPr>
        <w:t>1、乙方所提供的货物型号、技术规格、技术参数等质量必须与招投标文件和承诺相一致。</w:t>
      </w:r>
    </w:p>
    <w:p>
      <w:pPr>
        <w:snapToGrid w:val="0"/>
        <w:spacing w:line="400" w:lineRule="exact"/>
        <w:ind w:firstLine="420" w:firstLineChars="200"/>
        <w:rPr>
          <w:rFonts w:hint="eastAsia"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hint="eastAsia" w:ascii="宋体" w:hAnsi="宋体"/>
          <w:szCs w:val="21"/>
        </w:rPr>
      </w:pPr>
      <w:r>
        <w:rPr>
          <w:rFonts w:hint="eastAsia" w:ascii="宋体" w:hAnsi="宋体"/>
          <w:b/>
          <w:szCs w:val="21"/>
        </w:rPr>
        <w:t>第三条　权利保证</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乙方应保证所提供货物在使用时不会侵犯任何第三方的专利权、商标权、工业设计权或其他权利。</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乙方应按采购文件规定的时间向甲方提供使用货物的有关技术资料。</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乙方保证所交付的货物的所有权完全属于乙方且无任何抵押、质押、查封等产权瑕疵。</w:t>
      </w:r>
    </w:p>
    <w:p>
      <w:pPr>
        <w:snapToGrid w:val="0"/>
        <w:spacing w:line="400" w:lineRule="exact"/>
        <w:ind w:firstLine="422" w:firstLineChars="200"/>
        <w:rPr>
          <w:rFonts w:hint="eastAsia" w:ascii="宋体" w:hAnsi="宋体"/>
          <w:b/>
          <w:szCs w:val="21"/>
        </w:rPr>
      </w:pPr>
      <w:r>
        <w:rPr>
          <w:rFonts w:hint="eastAsia" w:ascii="宋体" w:hAnsi="宋体"/>
          <w:b/>
          <w:szCs w:val="21"/>
        </w:rPr>
        <w:t>第四条　包装和运输</w:t>
      </w:r>
    </w:p>
    <w:p>
      <w:pPr>
        <w:snapToGrid w:val="0"/>
        <w:spacing w:line="400" w:lineRule="exact"/>
        <w:ind w:firstLine="420" w:firstLineChars="200"/>
        <w:rPr>
          <w:rFonts w:hint="eastAsia"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hint="eastAsia"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hint="eastAsia" w:ascii="宋体" w:hAnsi="宋体"/>
          <w:szCs w:val="21"/>
        </w:rPr>
      </w:pPr>
      <w:r>
        <w:rPr>
          <w:rFonts w:hint="eastAsia" w:ascii="宋体" w:hAnsi="宋体"/>
          <w:b/>
          <w:szCs w:val="21"/>
        </w:rPr>
        <w:t>第五条　交付和验收</w:t>
      </w:r>
    </w:p>
    <w:p>
      <w:pPr>
        <w:snapToGrid w:val="0"/>
        <w:spacing w:line="400" w:lineRule="exact"/>
        <w:ind w:firstLine="420" w:firstLineChars="200"/>
        <w:rPr>
          <w:rFonts w:hint="eastAsia" w:ascii="宋体" w:hAnsi="宋体"/>
          <w:szCs w:val="21"/>
        </w:rPr>
      </w:pPr>
      <w:r>
        <w:rPr>
          <w:rFonts w:hint="eastAsia" w:ascii="宋体" w:hAnsi="宋体"/>
          <w:szCs w:val="21"/>
        </w:rPr>
        <w:t>1、交货时间及地点</w:t>
      </w:r>
      <w:r>
        <w:rPr>
          <w:rFonts w:hint="eastAsia" w:ascii="宋体" w:hAnsi="宋体"/>
          <w:szCs w:val="21"/>
          <w:lang w:val="en-US" w:eastAsia="zh-CN"/>
        </w:rPr>
        <w:t>见项目要求</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hint="eastAsia" w:ascii="宋体" w:hAnsi="宋体"/>
          <w:szCs w:val="21"/>
        </w:rPr>
      </w:pPr>
      <w:r>
        <w:rPr>
          <w:rFonts w:hint="eastAsia" w:ascii="宋体" w:hAnsi="宋体"/>
          <w:szCs w:val="21"/>
        </w:rPr>
        <w:t>3、乙方应将所提供货物的装箱清单、用户手册、原厂保修卡、随机资料、工具和备品、备件等交付给甲方，如有缺失应及时补齐，否则视为逾期交货。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hint="eastAsia"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hint="eastAsia"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hint="eastAsia"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个工作 </w:t>
      </w:r>
      <w:r>
        <w:rPr>
          <w:rFonts w:hint="eastAsia" w:ascii="宋体" w:hAnsi="宋体"/>
          <w:szCs w:val="21"/>
        </w:rPr>
        <w:t>日内及时予以解决。</w:t>
      </w:r>
    </w:p>
    <w:p>
      <w:pPr>
        <w:pStyle w:val="2"/>
        <w:rPr>
          <w:rFonts w:hint="default" w:eastAsiaTheme="minorEastAsia"/>
          <w:lang w:val="en-US" w:eastAsia="zh-CN"/>
        </w:rPr>
      </w:pPr>
      <w:r>
        <w:rPr>
          <w:rFonts w:hint="eastAsia" w:ascii="宋体" w:hAnsi="宋体"/>
          <w:szCs w:val="21"/>
          <w:lang w:val="en-US" w:eastAsia="zh-CN"/>
        </w:rPr>
        <w:t xml:space="preserve">  7、供货时</w:t>
      </w:r>
      <w:r>
        <w:rPr>
          <w:rFonts w:hint="eastAsia" w:asciiTheme="minorEastAsia" w:hAnsiTheme="minorEastAsia" w:cstheme="minorEastAsia"/>
          <w:i w:val="0"/>
          <w:color w:val="auto"/>
          <w:kern w:val="0"/>
          <w:sz w:val="21"/>
          <w:szCs w:val="21"/>
          <w:highlight w:val="none"/>
          <w:u w:val="none"/>
          <w:lang w:val="en-US" w:eastAsia="zh-CN" w:bidi="ar"/>
        </w:rPr>
        <w:t>必须</w:t>
      </w:r>
      <w:r>
        <w:rPr>
          <w:rFonts w:hint="eastAsia"/>
          <w:lang w:val="en-US" w:eastAsia="zh-CN"/>
        </w:rPr>
        <w:t>提供</w:t>
      </w:r>
      <w:r>
        <w:rPr>
          <w:rFonts w:hint="eastAsia" w:asciiTheme="minorEastAsia" w:hAnsiTheme="minorEastAsia" w:eastAsiaTheme="minorEastAsia" w:cstheme="minorEastAsia"/>
          <w:i w:val="0"/>
          <w:color w:val="auto"/>
          <w:kern w:val="0"/>
          <w:sz w:val="21"/>
          <w:szCs w:val="21"/>
          <w:highlight w:val="none"/>
          <w:u w:val="none"/>
          <w:lang w:val="en-US" w:eastAsia="zh-CN" w:bidi="ar"/>
        </w:rPr>
        <w:t>权威检测机构出具测试报告证明</w:t>
      </w:r>
      <w:r>
        <w:rPr>
          <w:rFonts w:hint="eastAsia" w:asciiTheme="minorEastAsia" w:hAnsiTheme="minorEastAsia" w:cstheme="minorEastAsia"/>
          <w:i w:val="0"/>
          <w:color w:val="auto"/>
          <w:kern w:val="0"/>
          <w:sz w:val="21"/>
          <w:szCs w:val="21"/>
          <w:highlight w:val="none"/>
          <w:u w:val="none"/>
          <w:lang w:val="en-US" w:eastAsia="zh-CN" w:bidi="ar"/>
        </w:rPr>
        <w:t>，否则，视为废标处理，如强制性安装设备的，不予验收。</w:t>
      </w:r>
    </w:p>
    <w:p>
      <w:pPr>
        <w:snapToGrid w:val="0"/>
        <w:spacing w:line="400" w:lineRule="exact"/>
        <w:ind w:firstLine="422" w:firstLineChars="200"/>
        <w:rPr>
          <w:rFonts w:hint="eastAsia" w:ascii="宋体" w:hAnsi="宋体"/>
          <w:b/>
          <w:szCs w:val="21"/>
        </w:rPr>
      </w:pPr>
      <w:r>
        <w:rPr>
          <w:rFonts w:hint="eastAsia" w:ascii="宋体" w:hAnsi="宋体"/>
          <w:b/>
          <w:szCs w:val="21"/>
        </w:rPr>
        <w:t>第</w:t>
      </w:r>
      <w:r>
        <w:rPr>
          <w:rFonts w:hint="eastAsia" w:ascii="宋体" w:hAnsi="宋体"/>
          <w:b/>
          <w:szCs w:val="21"/>
          <w:lang w:val="en-US" w:eastAsia="zh-CN"/>
        </w:rPr>
        <w:t>六</w:t>
      </w:r>
      <w:r>
        <w:rPr>
          <w:rFonts w:hint="eastAsia" w:ascii="宋体" w:hAnsi="宋体"/>
          <w:b/>
          <w:szCs w:val="21"/>
        </w:rPr>
        <w:t>条  售后服务、质保期</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eastAsia="zh-CN"/>
        </w:rPr>
        <w:t>货物保修期：</w:t>
      </w:r>
      <w:r>
        <w:rPr>
          <w:rFonts w:hint="eastAsia" w:asciiTheme="minorEastAsia" w:hAnsiTheme="minorEastAsia" w:cstheme="minorEastAsia"/>
          <w:sz w:val="21"/>
          <w:szCs w:val="21"/>
          <w:lang w:val="en-US" w:eastAsia="zh-CN"/>
        </w:rPr>
        <w:t>1年（自最终验收合格之日起算）</w:t>
      </w:r>
      <w:r>
        <w:rPr>
          <w:rFonts w:hint="eastAsia" w:asciiTheme="minorEastAsia" w:hAnsiTheme="minorEastAsia" w:eastAsiaTheme="minorEastAsia" w:cstheme="minorEastAsia"/>
          <w:sz w:val="21"/>
          <w:szCs w:val="21"/>
          <w:u w:val="none"/>
        </w:rPr>
        <w:t>。</w:t>
      </w:r>
    </w:p>
    <w:p>
      <w:pPr>
        <w:numPr>
          <w:ilvl w:val="-1"/>
          <w:numId w:val="0"/>
        </w:numPr>
        <w:spacing w:line="440" w:lineRule="exact"/>
        <w:ind w:firstLine="422" w:firstLineChars="200"/>
        <w:rPr>
          <w:rFonts w:hint="default" w:ascii="仿宋" w:hAnsi="仿宋" w:eastAsia="仿宋"/>
          <w:b/>
          <w:bCs/>
          <w:sz w:val="32"/>
          <w:szCs w:val="32"/>
          <w:lang w:val="en-US" w:eastAsia="zh-CN"/>
        </w:rPr>
      </w:pPr>
      <w:r>
        <w:rPr>
          <w:rFonts w:hint="eastAsia" w:ascii="宋体" w:hAnsi="宋体"/>
          <w:b/>
          <w:szCs w:val="21"/>
        </w:rPr>
        <w:t>第</w:t>
      </w:r>
      <w:r>
        <w:rPr>
          <w:rFonts w:hint="eastAsia" w:ascii="宋体" w:hAnsi="宋体"/>
          <w:b/>
          <w:szCs w:val="21"/>
          <w:lang w:val="en-US" w:eastAsia="zh-CN"/>
        </w:rPr>
        <w:t>七</w:t>
      </w:r>
      <w:r>
        <w:rPr>
          <w:rFonts w:hint="eastAsia" w:ascii="宋体" w:hAnsi="宋体"/>
          <w:b/>
          <w:szCs w:val="21"/>
        </w:rPr>
        <w:t>条　</w:t>
      </w:r>
      <w:r>
        <w:rPr>
          <w:rFonts w:hint="eastAsia" w:ascii="宋体" w:hAnsi="宋体" w:eastAsiaTheme="minorEastAsia"/>
          <w:b/>
          <w:bCs w:val="0"/>
          <w:sz w:val="21"/>
          <w:szCs w:val="21"/>
          <w:lang w:val="en-US" w:eastAsia="zh-CN"/>
        </w:rPr>
        <w:t>送货</w:t>
      </w:r>
      <w:r>
        <w:rPr>
          <w:rFonts w:hint="eastAsia" w:ascii="宋体" w:hAnsi="宋体" w:eastAsiaTheme="minorEastAsia"/>
          <w:b/>
          <w:bCs w:val="0"/>
          <w:sz w:val="21"/>
          <w:szCs w:val="21"/>
        </w:rPr>
        <w:t>期限</w:t>
      </w:r>
      <w:r>
        <w:rPr>
          <w:rFonts w:hint="eastAsia" w:ascii="宋体" w:hAnsi="宋体" w:eastAsiaTheme="minorEastAsia"/>
          <w:b/>
          <w:bCs w:val="0"/>
          <w:sz w:val="21"/>
          <w:szCs w:val="21"/>
          <w:lang w:val="en-US" w:eastAsia="zh-CN"/>
        </w:rPr>
        <w:t>及付款方式</w:t>
      </w:r>
    </w:p>
    <w:p>
      <w:pPr>
        <w:numPr>
          <w:ilvl w:val="-1"/>
          <w:numId w:val="0"/>
        </w:num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中标人签订合同后，</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eastAsia="zh-CN" w:bidi="ar-SA"/>
        </w:rPr>
        <w:t>5个工作日内向采购人提供所购全部货物，</w:t>
      </w:r>
      <w:r>
        <w:rPr>
          <w:rFonts w:hint="eastAsia" w:asciiTheme="minorEastAsia" w:hAnsiTheme="minorEastAsia" w:eastAsiaTheme="minorEastAsia" w:cstheme="minorEastAsia"/>
          <w:sz w:val="21"/>
          <w:szCs w:val="21"/>
          <w:lang w:val="en-US" w:eastAsia="zh-CN"/>
        </w:rPr>
        <w:t>完成送货及验收合格</w:t>
      </w:r>
      <w:r>
        <w:rPr>
          <w:rFonts w:hint="eastAsia" w:asciiTheme="minorEastAsia" w:hAnsiTheme="minorEastAsia" w:eastAsiaTheme="minorEastAsia" w:cstheme="minorEastAsia"/>
          <w:sz w:val="21"/>
          <w:szCs w:val="21"/>
          <w:lang w:eastAsia="zh-CN"/>
        </w:rPr>
        <w:t>由中标</w:t>
      </w:r>
      <w:r>
        <w:rPr>
          <w:rFonts w:hint="eastAsia" w:asciiTheme="minorEastAsia" w:hAnsiTheme="minorEastAsia" w:eastAsiaTheme="minorEastAsia" w:cstheme="minorEastAsia"/>
          <w:sz w:val="21"/>
          <w:szCs w:val="21"/>
          <w:lang w:val="en-US" w:eastAsia="zh-CN"/>
        </w:rPr>
        <w:t>单位</w:t>
      </w:r>
      <w:r>
        <w:rPr>
          <w:rFonts w:hint="eastAsia" w:asciiTheme="minorEastAsia" w:hAnsiTheme="minorEastAsia" w:eastAsiaTheme="minorEastAsia" w:cstheme="minorEastAsia"/>
          <w:sz w:val="21"/>
          <w:szCs w:val="21"/>
        </w:rPr>
        <w:t>提供正式发票后</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color w:val="auto"/>
          <w:sz w:val="21"/>
          <w:szCs w:val="21"/>
          <w:lang w:val="en-US" w:eastAsia="zh-CN"/>
        </w:rPr>
        <w:t xml:space="preserve"> 15  </w:t>
      </w:r>
      <w:r>
        <w:rPr>
          <w:rFonts w:hint="eastAsia" w:asciiTheme="minorEastAsia" w:hAnsiTheme="minorEastAsia" w:eastAsiaTheme="minorEastAsia" w:cstheme="minorEastAsia"/>
          <w:sz w:val="21"/>
          <w:szCs w:val="21"/>
          <w:lang w:val="en-US" w:eastAsia="zh-CN"/>
        </w:rPr>
        <w:t>个工作日内一次支付</w:t>
      </w:r>
      <w:r>
        <w:rPr>
          <w:rFonts w:hint="eastAsia" w:asciiTheme="minorEastAsia" w:hAnsiTheme="minorEastAsia" w:eastAsiaTheme="minorEastAsia" w:cstheme="minorEastAsia"/>
          <w:sz w:val="21"/>
          <w:szCs w:val="21"/>
          <w:lang w:eastAsia="zh-CN"/>
        </w:rPr>
        <w:t>，款项</w:t>
      </w:r>
      <w:r>
        <w:rPr>
          <w:rFonts w:hint="eastAsia" w:asciiTheme="minorEastAsia" w:hAnsiTheme="minorEastAsia" w:eastAsiaTheme="minorEastAsia" w:cstheme="minorEastAsia"/>
          <w:sz w:val="21"/>
          <w:szCs w:val="21"/>
        </w:rPr>
        <w:t>以转账方式付清。</w:t>
      </w:r>
    </w:p>
    <w:p>
      <w:pPr>
        <w:snapToGrid w:val="0"/>
        <w:spacing w:line="400" w:lineRule="exact"/>
        <w:ind w:left="-61" w:firstLine="514"/>
        <w:rPr>
          <w:rFonts w:hint="eastAsia" w:ascii="宋体" w:hAnsi="宋体"/>
          <w:b/>
          <w:szCs w:val="21"/>
        </w:rPr>
      </w:pPr>
    </w:p>
    <w:p>
      <w:pPr>
        <w:snapToGrid w:val="0"/>
        <w:spacing w:line="400" w:lineRule="exact"/>
        <w:ind w:left="-61" w:firstLine="514"/>
        <w:rPr>
          <w:rFonts w:hint="eastAsia" w:ascii="宋体" w:hAnsi="宋体"/>
          <w:b/>
          <w:szCs w:val="21"/>
        </w:rPr>
      </w:pPr>
      <w:r>
        <w:rPr>
          <w:rFonts w:hint="eastAsia" w:ascii="宋体" w:hAnsi="宋体"/>
          <w:b/>
          <w:szCs w:val="21"/>
        </w:rPr>
        <w:t>第</w:t>
      </w:r>
      <w:r>
        <w:rPr>
          <w:rFonts w:hint="eastAsia" w:ascii="宋体" w:hAnsi="宋体"/>
          <w:b/>
          <w:szCs w:val="21"/>
          <w:lang w:val="en-US" w:eastAsia="zh-CN"/>
        </w:rPr>
        <w:t>八</w:t>
      </w:r>
      <w:r>
        <w:rPr>
          <w:rFonts w:hint="eastAsia" w:ascii="宋体" w:hAnsi="宋体"/>
          <w:b/>
          <w:szCs w:val="21"/>
        </w:rPr>
        <w:t>条  税费</w:t>
      </w:r>
    </w:p>
    <w:p>
      <w:pPr>
        <w:snapToGrid w:val="0"/>
        <w:spacing w:line="400" w:lineRule="exact"/>
        <w:ind w:left="-61" w:firstLine="514"/>
        <w:rPr>
          <w:rFonts w:hint="eastAsia"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hint="eastAsia" w:ascii="宋体" w:hAnsi="宋体"/>
          <w:szCs w:val="21"/>
        </w:rPr>
      </w:pPr>
      <w:r>
        <w:rPr>
          <w:rFonts w:hint="eastAsia" w:ascii="宋体" w:hAnsi="宋体"/>
          <w:b/>
          <w:szCs w:val="21"/>
        </w:rPr>
        <w:t>第</w:t>
      </w:r>
      <w:r>
        <w:rPr>
          <w:rFonts w:hint="eastAsia" w:ascii="宋体" w:hAnsi="宋体"/>
          <w:b/>
          <w:szCs w:val="21"/>
          <w:lang w:val="en-US" w:eastAsia="zh-CN"/>
        </w:rPr>
        <w:t>九</w:t>
      </w:r>
      <w:r>
        <w:rPr>
          <w:rFonts w:hint="eastAsia" w:ascii="宋体" w:hAnsi="宋体"/>
          <w:b/>
          <w:szCs w:val="21"/>
        </w:rPr>
        <w:t>条  质量保证及售后服务</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乙方应按采购文件规定的货物性能、技术要求、质量标准向甲方提供未经使用的全新产品。不符合要求的，根据实际情况，经双方协商，可按以下办法处理：</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⑴更换：由乙方承担所发生的全部费用。</w:t>
      </w:r>
    </w:p>
    <w:p>
      <w:pPr>
        <w:pStyle w:val="4"/>
        <w:snapToGri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⑵贬值处理：由甲乙双方合议定价。</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⑶退货处理：乙方应退还甲方支付的合同款，同时应承担该货物的直接费用（运输、保险、检验、货款利息及银行手续费等）。</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如在使用过程中发生质量问题，乙方在接到甲方通知后在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8</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小时内到达甲方现场处理。</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在质保期内，乙方应对货物出现的质量及安全问题负责处理解决并承担一切费用。</w:t>
      </w:r>
    </w:p>
    <w:p>
      <w:pPr>
        <w:snapToGrid w:val="0"/>
        <w:spacing w:line="400" w:lineRule="exact"/>
        <w:ind w:left="-61" w:firstLine="514"/>
        <w:rPr>
          <w:rFonts w:hint="eastAsia" w:ascii="宋体" w:hAnsi="宋体"/>
          <w:szCs w:val="21"/>
        </w:rPr>
      </w:pPr>
      <w:r>
        <w:rPr>
          <w:rFonts w:hint="eastAsia" w:ascii="宋体" w:hAnsi="宋体"/>
          <w:b/>
          <w:szCs w:val="21"/>
        </w:rPr>
        <w:t>第十条  调试和验收</w:t>
      </w:r>
    </w:p>
    <w:p>
      <w:pPr>
        <w:pStyle w:val="4"/>
        <w:snapToGrid w:val="0"/>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乙方交货前应对产品作出全面检查和对验收文件进行整理，并列出清单，作为甲方收货验收和使用的技术条件依据，检验的结果应随货物交甲方。</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甲方对乙方提供的货物在使用前进行调试时，乙方需负责安装并培训甲方的使用操作人员，并协助甲方一起调试，直到符合技术要求，甲方才做最终验收。</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对技术复杂的货物，甲方应请国家认可的专业检测机构参与初步验收及最终验收，并由其出具质量检测报告。</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验收时乙方必须在现场，验收完毕后作出验收结果报告；验收费用由乙方负责。</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一</w:t>
      </w:r>
      <w:r>
        <w:rPr>
          <w:rFonts w:hint="eastAsia" w:ascii="宋体" w:hAnsi="宋体"/>
          <w:b/>
          <w:szCs w:val="21"/>
        </w:rPr>
        <w:t>条  货物包装、发运及运输</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乙方应在货物发运前对其进行满足运输距离、防潮、防震、防锈和防破损装卸等要求包装，以保证货物安全运达甲方指定地点。</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使用说明书、质量检验证明书、随配附件和工具以及清单一并附于货物内。</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乙方在货物发运手续办理完毕后二十四小时内或货到甲方四十八小时前通知甲方，以准备接货。</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货物在交付甲方前发生的风险均由乙方负责。</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货物在规定的交付期限内由乙方送达甲方指定的地点视为交付，乙方同时需通知甲方货物已送达。</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二</w:t>
      </w:r>
      <w:r>
        <w:rPr>
          <w:rFonts w:hint="eastAsia" w:ascii="宋体" w:hAnsi="宋体"/>
          <w:b/>
          <w:szCs w:val="21"/>
        </w:rPr>
        <w:t>条　违约责任</w:t>
      </w:r>
    </w:p>
    <w:p>
      <w:pPr>
        <w:snapToGrid w:val="0"/>
        <w:spacing w:line="400" w:lineRule="exact"/>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2、乙方提供的货物如侵犯了第三方合法权益而引发的任何纠纷或诉讼，均由乙方负责交涉并承担全部责任。</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3、因包装、运输引起的货物损坏，按质量不合格处罚。</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4、甲方无故延期接收货物、乙方逾期交货的，每天向对方偿付违约货款额</w:t>
      </w:r>
      <w:r>
        <w:rPr>
          <w:rFonts w:hint="eastAsia" w:asciiTheme="minorEastAsia" w:hAnsiTheme="minorEastAsia" w:eastAsiaTheme="minorEastAsia" w:cstheme="minorEastAsia"/>
          <w:sz w:val="21"/>
          <w:szCs w:val="21"/>
          <w:u w:val="single"/>
        </w:rPr>
        <w:t>4‰</w:t>
      </w:r>
      <w:r>
        <w:rPr>
          <w:rFonts w:hint="eastAsia" w:asciiTheme="minorEastAsia" w:hAnsiTheme="minorEastAsia" w:eastAsiaTheme="minorEastAsia" w:cstheme="minorEastAsia"/>
          <w:sz w:val="21"/>
          <w:szCs w:val="21"/>
        </w:rPr>
        <w:t>违约金，但违约金累计不得超过违约货款额</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，超过</w:t>
      </w:r>
      <w:r>
        <w:rPr>
          <w:rFonts w:hint="eastAsia" w:asciiTheme="minorEastAsia" w:hAnsiTheme="minorEastAsia" w:eastAsiaTheme="minorEastAsia" w:cstheme="minorEastAsia"/>
          <w:sz w:val="21"/>
          <w:szCs w:val="21"/>
          <w:u w:val="single"/>
        </w:rPr>
        <w:t xml:space="preserve"> 15 </w:t>
      </w:r>
      <w:r>
        <w:rPr>
          <w:rFonts w:hint="eastAsia" w:asciiTheme="minorEastAsia" w:hAnsiTheme="minorEastAsia" w:eastAsiaTheme="minorEastAsia" w:cstheme="minorEastAsia"/>
          <w:sz w:val="21"/>
          <w:szCs w:val="21"/>
        </w:rPr>
        <w:t>天对方有权解除合同，违约方承担因此给对方造成经济损失；甲方延期付货款的，每天向乙方偿付延期货款额</w:t>
      </w:r>
      <w:r>
        <w:rPr>
          <w:rFonts w:hint="eastAsia" w:asciiTheme="minorEastAsia" w:hAnsiTheme="minorEastAsia" w:eastAsiaTheme="minorEastAsia" w:cstheme="minorEastAsia"/>
          <w:sz w:val="21"/>
          <w:szCs w:val="21"/>
          <w:u w:val="single"/>
        </w:rPr>
        <w:t>4‰</w:t>
      </w:r>
      <w:r>
        <w:rPr>
          <w:rFonts w:hint="eastAsia" w:asciiTheme="minorEastAsia" w:hAnsiTheme="minorEastAsia" w:eastAsiaTheme="minorEastAsia" w:cstheme="minorEastAsia"/>
          <w:sz w:val="21"/>
          <w:szCs w:val="21"/>
        </w:rPr>
        <w:t>滞纳金，但滞纳金累计不得超过延期货款额</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5、乙方未按本合同和投标文件中规定的服务承诺提供售后服务的，乙方应按本合同合计金额</w:t>
      </w:r>
      <w:r>
        <w:rPr>
          <w:rFonts w:hint="eastAsia" w:asciiTheme="minorEastAsia" w:hAnsiTheme="minorEastAsia" w:eastAsiaTheme="minorEastAsia" w:cstheme="minorEastAsia"/>
          <w:sz w:val="21"/>
          <w:szCs w:val="21"/>
          <w:u w:val="single"/>
        </w:rPr>
        <w:t xml:space="preserve"> 5%</w:t>
      </w:r>
      <w:r>
        <w:rPr>
          <w:rFonts w:hint="eastAsia" w:asciiTheme="minorEastAsia" w:hAnsiTheme="minorEastAsia" w:eastAsiaTheme="minorEastAsia" w:cstheme="minorEastAsia"/>
          <w:sz w:val="21"/>
          <w:szCs w:val="21"/>
        </w:rPr>
        <w:t>向甲方支付违约金。</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7、其它违约行为按违约货款额5%收取违约金并赔偿经济损失。</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三</w:t>
      </w:r>
      <w:r>
        <w:rPr>
          <w:rFonts w:hint="eastAsia" w:ascii="宋体" w:hAnsi="宋体"/>
          <w:b/>
          <w:szCs w:val="21"/>
        </w:rPr>
        <w:t>条  不可抗力事件处理</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在合同有效期内，任何一方因不可抗力事件导致不能履行合同，则合同履行期可延长，其延长期与不可抗力影响期相同。</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不可抗力事件发生后，应立即通知对方，并寄送有关权威机构出具的证明。</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不可抗力事件延续一百二十天以上，双方应通过友好协商，确定是否继续履行合同。</w:t>
      </w:r>
    </w:p>
    <w:p>
      <w:pPr>
        <w:snapToGrid w:val="0"/>
        <w:spacing w:line="400" w:lineRule="exact"/>
        <w:ind w:firstLine="422" w:firstLineChars="200"/>
        <w:rPr>
          <w:rFonts w:hint="eastAsia" w:ascii="宋体" w:hAnsi="宋体"/>
          <w:szCs w:val="21"/>
        </w:rPr>
      </w:pPr>
      <w:r>
        <w:rPr>
          <w:rFonts w:hint="eastAsia" w:ascii="宋体" w:hAnsi="宋体"/>
          <w:b/>
          <w:szCs w:val="21"/>
        </w:rPr>
        <w:t>第十</w:t>
      </w:r>
      <w:r>
        <w:rPr>
          <w:rFonts w:hint="eastAsia" w:ascii="宋体" w:hAnsi="宋体"/>
          <w:b/>
          <w:szCs w:val="21"/>
          <w:lang w:val="en-US" w:eastAsia="zh-CN"/>
        </w:rPr>
        <w:t>四</w:t>
      </w:r>
      <w:r>
        <w:rPr>
          <w:rFonts w:hint="eastAsia" w:ascii="宋体" w:hAnsi="宋体"/>
          <w:b/>
          <w:szCs w:val="21"/>
        </w:rPr>
        <w:t>条  合同争议解决</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hint="eastAsia" w:ascii="宋体" w:hAnsi="宋体" w:eastAsia="宋体" w:cs="宋体"/>
          <w:sz w:val="21"/>
          <w:szCs w:val="21"/>
        </w:rPr>
      </w:pPr>
      <w:r>
        <w:rPr>
          <w:rFonts w:hint="eastAsia" w:ascii="宋体" w:hAnsi="宋体" w:eastAsia="宋体" w:cs="宋体"/>
          <w:sz w:val="21"/>
          <w:szCs w:val="21"/>
        </w:rPr>
        <w:t>3、诉讼期间，本合同继续履行。</w:t>
      </w:r>
    </w:p>
    <w:p>
      <w:pPr>
        <w:pStyle w:val="4"/>
        <w:snapToGrid w:val="0"/>
        <w:spacing w:line="400" w:lineRule="exact"/>
        <w:ind w:firstLine="413" w:firstLineChars="196"/>
        <w:rPr>
          <w:rFonts w:hint="eastAsia" w:hAnsi="宋体"/>
          <w:b/>
          <w:kern w:val="2"/>
          <w:sz w:val="21"/>
        </w:rPr>
      </w:pPr>
      <w:r>
        <w:rPr>
          <w:rFonts w:hint="eastAsia" w:hAnsi="宋体"/>
          <w:b/>
          <w:kern w:val="2"/>
          <w:sz w:val="21"/>
        </w:rPr>
        <w:t>第十</w:t>
      </w:r>
      <w:r>
        <w:rPr>
          <w:rFonts w:hint="eastAsia" w:hAnsi="宋体"/>
          <w:b/>
          <w:kern w:val="2"/>
          <w:sz w:val="21"/>
          <w:lang w:val="en-US" w:eastAsia="zh-CN"/>
        </w:rPr>
        <w:t>五</w:t>
      </w:r>
      <w:r>
        <w:rPr>
          <w:rFonts w:hint="eastAsia" w:hAnsi="宋体"/>
          <w:b/>
          <w:kern w:val="2"/>
          <w:sz w:val="21"/>
        </w:rPr>
        <w:t>条  合同生效及其它</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1.合同经双方法定代表人或被授权代表签字并加盖单位公章后生效。</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3.本合同未尽事宜，遵照《合同法》有关条文执行。</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六</w:t>
      </w:r>
      <w:r>
        <w:rPr>
          <w:rFonts w:hint="eastAsia" w:ascii="宋体" w:hAnsi="宋体"/>
          <w:b/>
          <w:szCs w:val="21"/>
        </w:rPr>
        <w:t>条　合同的变更、终止与转让</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1、除《中华人民共和国政府采购法》第五十条规定的情形外，本合同一经签订，甲乙双方不得擅自变更、中止或终止。</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2、乙方不得擅自转让（无进口资格的供应商委托进口货物除外）其应履行的合同义务。</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七</w:t>
      </w:r>
      <w:r>
        <w:rPr>
          <w:rFonts w:hint="eastAsia" w:ascii="宋体" w:hAnsi="宋体"/>
          <w:b/>
          <w:szCs w:val="21"/>
        </w:rPr>
        <w:t>条　签订本合同依据</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1、项目采购文件；</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2、乙方提供的</w:t>
      </w:r>
      <w:r>
        <w:rPr>
          <w:rFonts w:hint="eastAsia" w:asciiTheme="minorEastAsia" w:hAnsiTheme="minorEastAsia" w:eastAsiaTheme="minorEastAsia" w:cstheme="minorEastAsia"/>
          <w:sz w:val="21"/>
          <w:szCs w:val="21"/>
          <w:lang w:val="en-US" w:eastAsia="zh-CN"/>
        </w:rPr>
        <w:t>报价</w:t>
      </w:r>
      <w:r>
        <w:rPr>
          <w:rFonts w:hint="eastAsia" w:asciiTheme="minorEastAsia" w:hAnsiTheme="minorEastAsia" w:eastAsiaTheme="minorEastAsia" w:cstheme="minorEastAsia"/>
          <w:sz w:val="21"/>
          <w:szCs w:val="21"/>
        </w:rPr>
        <w:t>文件；</w:t>
      </w:r>
    </w:p>
    <w:p>
      <w:pPr>
        <w:pStyle w:val="4"/>
        <w:snapToGrid w:val="0"/>
        <w:spacing w:line="400" w:lineRule="exact"/>
        <w:ind w:left="420" w:left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、成交</w:t>
      </w:r>
      <w:r>
        <w:rPr>
          <w:rFonts w:hint="eastAsia" w:asciiTheme="minorEastAsia" w:hAnsiTheme="minorEastAsia" w:cstheme="minorEastAsia"/>
          <w:sz w:val="21"/>
          <w:szCs w:val="21"/>
          <w:lang w:val="en-US" w:eastAsia="zh-CN"/>
        </w:rPr>
        <w:t>公告</w:t>
      </w:r>
      <w:r>
        <w:rPr>
          <w:rFonts w:hint="eastAsia" w:asciiTheme="minorEastAsia" w:hAnsiTheme="minorEastAsia" w:eastAsiaTheme="minorEastAsia" w:cstheme="minorEastAsia"/>
          <w:sz w:val="21"/>
          <w:szCs w:val="21"/>
        </w:rPr>
        <w:t>书。</w:t>
      </w:r>
    </w:p>
    <w:p>
      <w:pPr>
        <w:snapToGrid w:val="0"/>
        <w:spacing w:line="400" w:lineRule="exact"/>
        <w:ind w:firstLine="422" w:firstLineChars="200"/>
        <w:rPr>
          <w:rFonts w:hint="eastAsia" w:ascii="宋体" w:hAnsi="宋体" w:eastAsia="宋体" w:cs="宋体"/>
          <w:sz w:val="20"/>
          <w:szCs w:val="20"/>
        </w:rPr>
      </w:pPr>
      <w:r>
        <w:rPr>
          <w:rFonts w:hint="eastAsia" w:ascii="宋体" w:hAnsi="宋体"/>
          <w:b/>
          <w:szCs w:val="21"/>
        </w:rPr>
        <w:t>第</w:t>
      </w:r>
      <w:r>
        <w:rPr>
          <w:rFonts w:hint="eastAsia" w:ascii="宋体" w:hAnsi="宋体"/>
          <w:b/>
          <w:szCs w:val="21"/>
          <w:lang w:val="en-US" w:eastAsia="zh-CN"/>
        </w:rPr>
        <w:t>十八</w:t>
      </w:r>
      <w:r>
        <w:rPr>
          <w:rFonts w:hint="eastAsia" w:ascii="宋体" w:hAnsi="宋体"/>
          <w:b/>
          <w:szCs w:val="21"/>
        </w:rPr>
        <w:t>条　</w:t>
      </w:r>
      <w:r>
        <w:rPr>
          <w:rFonts w:hint="eastAsia" w:ascii="宋体" w:hAnsi="宋体" w:eastAsia="宋体" w:cs="宋体"/>
          <w:sz w:val="21"/>
          <w:szCs w:val="21"/>
        </w:rPr>
        <w:t>本合同一式</w:t>
      </w:r>
      <w:r>
        <w:rPr>
          <w:rFonts w:hint="eastAsia" w:ascii="宋体" w:hAnsi="宋体" w:eastAsia="宋体" w:cs="宋体"/>
          <w:sz w:val="21"/>
          <w:szCs w:val="21"/>
          <w:lang w:eastAsia="zh-CN"/>
        </w:rPr>
        <w:t>伍</w:t>
      </w:r>
      <w:r>
        <w:rPr>
          <w:rFonts w:hint="eastAsia" w:ascii="宋体" w:hAnsi="宋体" w:eastAsia="宋体" w:cs="宋体"/>
          <w:sz w:val="21"/>
          <w:szCs w:val="21"/>
        </w:rPr>
        <w:t>份，具有同等法律效力，甲方</w:t>
      </w:r>
      <w:r>
        <w:rPr>
          <w:rFonts w:hint="eastAsia" w:ascii="宋体" w:hAnsi="宋体" w:eastAsia="宋体" w:cs="宋体"/>
          <w:sz w:val="21"/>
          <w:szCs w:val="21"/>
          <w:lang w:eastAsia="zh-CN"/>
        </w:rPr>
        <w:t>肆</w:t>
      </w:r>
      <w:r>
        <w:rPr>
          <w:rFonts w:hint="eastAsia" w:ascii="宋体" w:hAnsi="宋体" w:eastAsia="宋体" w:cs="宋体"/>
          <w:sz w:val="21"/>
          <w:szCs w:val="21"/>
        </w:rPr>
        <w:t>份，乙方</w:t>
      </w:r>
      <w:r>
        <w:rPr>
          <w:rFonts w:hint="eastAsia" w:ascii="宋体" w:hAnsi="宋体" w:eastAsia="宋体" w:cs="宋体"/>
          <w:sz w:val="21"/>
          <w:szCs w:val="21"/>
          <w:lang w:eastAsia="zh-CN"/>
        </w:rPr>
        <w:t>壹</w:t>
      </w:r>
      <w:r>
        <w:rPr>
          <w:rFonts w:hint="eastAsia" w:ascii="宋体" w:hAnsi="宋体" w:eastAsia="宋体" w:cs="宋体"/>
          <w:sz w:val="21"/>
          <w:szCs w:val="21"/>
        </w:rPr>
        <w:t>份。本合同甲乙双方签字盖章后生效。</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甲方（章）           </w:t>
            </w:r>
          </w:p>
          <w:p>
            <w:pPr>
              <w:snapToGrid w:val="0"/>
              <w:spacing w:line="400" w:lineRule="exact"/>
              <w:rPr>
                <w:rFonts w:hint="eastAsia" w:ascii="宋体" w:hAnsi="宋体"/>
                <w:szCs w:val="21"/>
              </w:rPr>
            </w:pPr>
          </w:p>
          <w:p>
            <w:pPr>
              <w:snapToGrid w:val="0"/>
              <w:spacing w:line="400" w:lineRule="exact"/>
              <w:ind w:firstLine="945" w:firstLineChars="450"/>
              <w:jc w:val="right"/>
              <w:rPr>
                <w:rFonts w:hint="eastAsia" w:ascii="宋体" w:hAnsi="宋体"/>
                <w:szCs w:val="21"/>
              </w:rPr>
            </w:pPr>
            <w:r>
              <w:rPr>
                <w:rFonts w:hint="eastAsia" w:ascii="宋体" w:hAnsi="宋体"/>
                <w:szCs w:val="21"/>
              </w:rPr>
              <w:t>年   月   日</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乙方（章）              </w:t>
            </w:r>
          </w:p>
          <w:p>
            <w:pPr>
              <w:snapToGrid w:val="0"/>
              <w:spacing w:line="400" w:lineRule="exact"/>
              <w:rPr>
                <w:rFonts w:hint="eastAsia" w:ascii="宋体" w:hAnsi="宋体"/>
                <w:szCs w:val="21"/>
              </w:rPr>
            </w:pPr>
          </w:p>
          <w:p>
            <w:pPr>
              <w:snapToGrid w:val="0"/>
              <w:spacing w:line="400" w:lineRule="exact"/>
              <w:jc w:val="right"/>
              <w:rPr>
                <w:rFonts w:hint="eastAsia"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default" w:ascii="宋体" w:hAnsi="宋体" w:eastAsiaTheme="minorEastAsia"/>
                <w:szCs w:val="21"/>
                <w:lang w:val="en-US" w:eastAsia="zh-CN"/>
              </w:rPr>
            </w:pPr>
            <w:r>
              <w:rPr>
                <w:rFonts w:hint="eastAsia" w:ascii="宋体" w:hAnsi="宋体"/>
                <w:szCs w:val="21"/>
              </w:rPr>
              <w:t>单位地址：</w:t>
            </w:r>
            <w:r>
              <w:rPr>
                <w:rFonts w:hint="eastAsia" w:ascii="宋体" w:hAnsi="宋体"/>
                <w:szCs w:val="21"/>
                <w:lang w:val="en-US" w:eastAsia="zh-CN"/>
              </w:rPr>
              <w:t>南宁市昆仑大道1258号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r>
    </w:tbl>
    <w:p/>
    <w:sectPr>
      <w:footerReference r:id="rId3" w:type="default"/>
      <w:pgSz w:w="11906" w:h="16838"/>
      <w:pgMar w:top="850" w:right="1134"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GJlODgzMmQwMGE2ODI3OTE5NWNlZTFjY2E5MjkifQ=="/>
  </w:docVars>
  <w:rsids>
    <w:rsidRoot w:val="49F0206F"/>
    <w:rsid w:val="00592BFD"/>
    <w:rsid w:val="061A70F1"/>
    <w:rsid w:val="07BA79AE"/>
    <w:rsid w:val="098C0D3B"/>
    <w:rsid w:val="09DD74E4"/>
    <w:rsid w:val="0B85604A"/>
    <w:rsid w:val="134F6D97"/>
    <w:rsid w:val="15963066"/>
    <w:rsid w:val="1E5133F7"/>
    <w:rsid w:val="25D236E8"/>
    <w:rsid w:val="28430C10"/>
    <w:rsid w:val="2B9F5183"/>
    <w:rsid w:val="361F13D9"/>
    <w:rsid w:val="3DC77263"/>
    <w:rsid w:val="3FA3273F"/>
    <w:rsid w:val="41926FC8"/>
    <w:rsid w:val="42271215"/>
    <w:rsid w:val="44854393"/>
    <w:rsid w:val="49F0206F"/>
    <w:rsid w:val="4EFF138A"/>
    <w:rsid w:val="4F3A608F"/>
    <w:rsid w:val="4F7C1F62"/>
    <w:rsid w:val="4FF402BD"/>
    <w:rsid w:val="56204E81"/>
    <w:rsid w:val="5F3A1866"/>
    <w:rsid w:val="640E3621"/>
    <w:rsid w:val="64537576"/>
    <w:rsid w:val="6B493E6B"/>
    <w:rsid w:val="6C762FE1"/>
    <w:rsid w:val="6CB91EFC"/>
    <w:rsid w:val="6D3271F1"/>
    <w:rsid w:val="6D995BAA"/>
    <w:rsid w:val="6E911166"/>
    <w:rsid w:val="7049636E"/>
    <w:rsid w:val="752D7250"/>
    <w:rsid w:val="75CF08F7"/>
    <w:rsid w:val="79421550"/>
    <w:rsid w:val="7E4F5837"/>
    <w:rsid w:val="7F70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2021-04-01T02:25:00Z</dcterms:created>
  <dc:creator>李克元</dc:creator>
  <cp:lastModifiedBy>克元</cp:lastModifiedBy>
  <cp:lastPrinted>2021-04-28T06:41:00Z</cp:lastPrinted>
  <dcterms:modified xsi:type="dcterms:W3CDTF">2022-05-31T02:26:39Z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C017DD61AA8847F585C51A0C28028D46</vt:lpwstr>
  </property>
</Properties>
</file>