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61" w:firstLineChars="100"/>
        <w:jc w:val="center"/>
        <w:rPr>
          <w:rFonts w:ascii="仿宋" w:hAnsi="仿宋" w:eastAsia="仿宋" w:cs="Times New Roman"/>
          <w:b/>
          <w:sz w:val="36"/>
          <w:szCs w:val="36"/>
        </w:rPr>
      </w:pPr>
      <w:r>
        <w:rPr>
          <w:rFonts w:hint="eastAsia" w:ascii="仿宋" w:hAnsi="仿宋" w:eastAsia="仿宋" w:cs="Times New Roman"/>
          <w:b/>
          <w:sz w:val="36"/>
          <w:szCs w:val="36"/>
        </w:rPr>
        <w:t>购买加厚塑料凳公告</w:t>
      </w:r>
    </w:p>
    <w:p>
      <w:pPr>
        <w:widowControl/>
        <w:ind w:firstLine="600" w:firstLineChars="200"/>
        <w:rPr>
          <w:rFonts w:ascii="华文仿宋" w:hAnsi="华文仿宋" w:eastAsia="华文仿宋" w:cs="华文仿宋"/>
          <w:sz w:val="30"/>
          <w:szCs w:val="30"/>
        </w:rPr>
      </w:pPr>
      <w:r>
        <w:rPr>
          <w:rFonts w:hint="eastAsia" w:ascii="华文仿宋" w:hAnsi="华文仿宋" w:eastAsia="华文仿宋" w:cs="华文仿宋"/>
          <w:sz w:val="30"/>
          <w:szCs w:val="30"/>
        </w:rPr>
        <w:t>为了保证下学期学生活动的正常进行，现面向社会对有相关业务能力的公司进行询价，欢迎符合条件的投标人前来报价。</w:t>
      </w:r>
    </w:p>
    <w:p>
      <w:pPr>
        <w:pStyle w:val="13"/>
        <w:widowControl/>
        <w:numPr>
          <w:ilvl w:val="0"/>
          <w:numId w:val="1"/>
        </w:numPr>
        <w:ind w:firstLineChars="0"/>
        <w:rPr>
          <w:rFonts w:ascii="宋体" w:hAnsi="宋体" w:eastAsia="宋体" w:cs="宋体"/>
          <w:kern w:val="0"/>
          <w:sz w:val="22"/>
        </w:rPr>
      </w:pPr>
      <w:r>
        <w:rPr>
          <w:rFonts w:hint="eastAsia" w:ascii="宋体" w:hAnsi="宋体" w:eastAsia="宋体" w:cs="宋体"/>
          <w:b/>
          <w:bCs/>
          <w:color w:val="000000"/>
          <w:kern w:val="0"/>
          <w:sz w:val="28"/>
          <w:szCs w:val="28"/>
        </w:rPr>
        <w:t>采购项目名称：</w:t>
      </w:r>
      <w:r>
        <w:rPr>
          <w:rFonts w:hint="eastAsia" w:ascii="华文仿宋" w:hAnsi="华文仿宋" w:eastAsia="华文仿宋" w:cs="华文仿宋"/>
          <w:sz w:val="30"/>
          <w:szCs w:val="30"/>
        </w:rPr>
        <w:t>加厚塑料凳</w:t>
      </w:r>
    </w:p>
    <w:p>
      <w:pPr>
        <w:pStyle w:val="13"/>
        <w:widowControl/>
        <w:ind w:firstLine="0"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二、项目要求及报价表：</w:t>
      </w:r>
    </w:p>
    <w:p>
      <w:pPr>
        <w:widowControl/>
        <w:numPr>
          <w:ilvl w:val="0"/>
          <w:numId w:val="2"/>
        </w:numPr>
        <w:ind w:firstLine="640"/>
        <w:jc w:val="left"/>
        <w:rPr>
          <w:rFonts w:ascii="华文仿宋" w:hAnsi="华文仿宋" w:eastAsia="华文仿宋" w:cs="华文仿宋"/>
          <w:sz w:val="30"/>
          <w:szCs w:val="30"/>
        </w:rPr>
      </w:pPr>
      <w:r>
        <w:rPr>
          <w:rFonts w:hint="eastAsia" w:ascii="华文仿宋" w:hAnsi="华文仿宋" w:eastAsia="华文仿宋" w:cs="华文仿宋"/>
          <w:sz w:val="30"/>
          <w:szCs w:val="30"/>
        </w:rPr>
        <w:t>项目内容：加厚塑料凳采购明细</w:t>
      </w:r>
    </w:p>
    <w:tbl>
      <w:tblPr>
        <w:tblStyle w:val="10"/>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998"/>
        <w:gridCol w:w="950"/>
        <w:gridCol w:w="780"/>
        <w:gridCol w:w="1095"/>
        <w:gridCol w:w="105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218" w:type="dxa"/>
            <w:vAlign w:val="center"/>
          </w:tcPr>
          <w:p>
            <w:pPr>
              <w:spacing w:line="460" w:lineRule="exact"/>
              <w:jc w:val="center"/>
              <w:rPr>
                <w:sz w:val="24"/>
              </w:rPr>
            </w:pPr>
            <w:r>
              <w:rPr>
                <w:rFonts w:hint="eastAsia"/>
                <w:sz w:val="24"/>
                <w:szCs w:val="24"/>
              </w:rPr>
              <w:t>名称</w:t>
            </w:r>
          </w:p>
        </w:tc>
        <w:tc>
          <w:tcPr>
            <w:tcW w:w="2998" w:type="dxa"/>
            <w:vAlign w:val="center"/>
          </w:tcPr>
          <w:p>
            <w:pPr>
              <w:spacing w:line="460" w:lineRule="exact"/>
              <w:jc w:val="center"/>
              <w:rPr>
                <w:sz w:val="24"/>
              </w:rPr>
            </w:pPr>
            <w:r>
              <w:rPr>
                <w:rFonts w:hint="eastAsia"/>
                <w:sz w:val="24"/>
                <w:szCs w:val="24"/>
              </w:rPr>
              <w:t>规格</w:t>
            </w:r>
          </w:p>
        </w:tc>
        <w:tc>
          <w:tcPr>
            <w:tcW w:w="950" w:type="dxa"/>
            <w:vAlign w:val="center"/>
          </w:tcPr>
          <w:p>
            <w:pPr>
              <w:spacing w:line="460" w:lineRule="exact"/>
              <w:jc w:val="center"/>
              <w:rPr>
                <w:sz w:val="24"/>
              </w:rPr>
            </w:pPr>
            <w:r>
              <w:rPr>
                <w:rFonts w:hint="eastAsia"/>
                <w:sz w:val="24"/>
                <w:szCs w:val="24"/>
              </w:rPr>
              <w:t>单位</w:t>
            </w:r>
          </w:p>
        </w:tc>
        <w:tc>
          <w:tcPr>
            <w:tcW w:w="780" w:type="dxa"/>
            <w:vAlign w:val="center"/>
          </w:tcPr>
          <w:p>
            <w:pPr>
              <w:spacing w:line="460" w:lineRule="exact"/>
              <w:jc w:val="center"/>
              <w:rPr>
                <w:sz w:val="24"/>
              </w:rPr>
            </w:pPr>
            <w:r>
              <w:rPr>
                <w:rFonts w:hint="eastAsia"/>
                <w:sz w:val="24"/>
                <w:szCs w:val="24"/>
              </w:rPr>
              <w:t>数量</w:t>
            </w:r>
          </w:p>
        </w:tc>
        <w:tc>
          <w:tcPr>
            <w:tcW w:w="1095" w:type="dxa"/>
            <w:vAlign w:val="center"/>
          </w:tcPr>
          <w:p>
            <w:pPr>
              <w:spacing w:line="460" w:lineRule="exact"/>
              <w:jc w:val="center"/>
              <w:rPr>
                <w:sz w:val="24"/>
              </w:rPr>
            </w:pPr>
            <w:r>
              <w:rPr>
                <w:rFonts w:hint="eastAsia"/>
                <w:sz w:val="24"/>
                <w:szCs w:val="24"/>
              </w:rPr>
              <w:t>单价</w:t>
            </w:r>
          </w:p>
        </w:tc>
        <w:tc>
          <w:tcPr>
            <w:tcW w:w="1050" w:type="dxa"/>
            <w:vAlign w:val="center"/>
          </w:tcPr>
          <w:p>
            <w:pPr>
              <w:spacing w:line="460" w:lineRule="exact"/>
              <w:jc w:val="center"/>
              <w:rPr>
                <w:sz w:val="24"/>
              </w:rPr>
            </w:pPr>
            <w:r>
              <w:rPr>
                <w:rFonts w:hint="eastAsia"/>
                <w:sz w:val="24"/>
                <w:szCs w:val="24"/>
              </w:rPr>
              <w:t>合计</w:t>
            </w:r>
          </w:p>
        </w:tc>
        <w:tc>
          <w:tcPr>
            <w:tcW w:w="1770" w:type="dxa"/>
            <w:vAlign w:val="center"/>
          </w:tcPr>
          <w:p>
            <w:pPr>
              <w:spacing w:line="460" w:lineRule="exact"/>
              <w:jc w:val="center"/>
              <w:rPr>
                <w:sz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18" w:type="dxa"/>
            <w:vAlign w:val="center"/>
          </w:tcPr>
          <w:p>
            <w:pPr>
              <w:widowControl/>
              <w:rPr>
                <w:rFonts w:ascii="宋体" w:hAnsi="宋体" w:eastAsia="宋体" w:cs="宋体"/>
                <w:kern w:val="0"/>
                <w:sz w:val="22"/>
              </w:rPr>
            </w:pPr>
            <w:r>
              <w:rPr>
                <w:rFonts w:hint="eastAsia" w:ascii="华文仿宋" w:hAnsi="华文仿宋" w:eastAsia="华文仿宋" w:cs="华文仿宋"/>
                <w:sz w:val="30"/>
                <w:szCs w:val="30"/>
              </w:rPr>
              <w:t>加厚塑料凳</w:t>
            </w:r>
          </w:p>
          <w:p>
            <w:pPr>
              <w:spacing w:line="460" w:lineRule="exact"/>
              <w:jc w:val="center"/>
              <w:rPr>
                <w:sz w:val="24"/>
              </w:rPr>
            </w:pPr>
          </w:p>
        </w:tc>
        <w:tc>
          <w:tcPr>
            <w:tcW w:w="2998" w:type="dxa"/>
            <w:vAlign w:val="center"/>
          </w:tcPr>
          <w:p>
            <w:pPr>
              <w:spacing w:line="460" w:lineRule="exact"/>
              <w:jc w:val="center"/>
              <w:rPr>
                <w:rFonts w:hint="eastAsia" w:eastAsiaTheme="minorEastAsia"/>
                <w:sz w:val="24"/>
                <w:lang w:eastAsia="zh-CN"/>
              </w:rPr>
            </w:pPr>
            <w:r>
              <w:rPr>
                <w:rFonts w:hint="eastAsia"/>
                <w:sz w:val="24"/>
                <w:szCs w:val="24"/>
              </w:rPr>
              <w:t>加厚塑料凳（优质PP材料，承重：300斤以上；</w:t>
            </w:r>
            <w:r>
              <w:rPr>
                <w:rFonts w:hint="eastAsia"/>
                <w:sz w:val="24"/>
                <w:szCs w:val="24"/>
                <w:lang w:eastAsia="zh-CN"/>
              </w:rPr>
              <w:t>型号：</w:t>
            </w:r>
            <w:r>
              <w:rPr>
                <w:rFonts w:hint="eastAsia"/>
                <w:sz w:val="24"/>
                <w:szCs w:val="24"/>
              </w:rPr>
              <w:t>大号</w:t>
            </w:r>
            <w:r>
              <w:rPr>
                <w:rFonts w:hint="eastAsia"/>
                <w:sz w:val="24"/>
                <w:szCs w:val="24"/>
                <w:lang w:eastAsia="zh-CN"/>
              </w:rPr>
              <w:t>；规格：</w:t>
            </w:r>
            <w:r>
              <w:rPr>
                <w:rFonts w:hint="eastAsia"/>
                <w:sz w:val="24"/>
                <w:szCs w:val="24"/>
              </w:rPr>
              <w:t>凳面直径26cm高27cm底直径32cm</w:t>
            </w:r>
            <w:r>
              <w:rPr>
                <w:rFonts w:hint="eastAsia"/>
                <w:sz w:val="24"/>
                <w:szCs w:val="24"/>
                <w:lang w:eastAsia="zh-CN"/>
              </w:rPr>
              <w:t>。</w:t>
            </w:r>
          </w:p>
        </w:tc>
        <w:tc>
          <w:tcPr>
            <w:tcW w:w="950" w:type="dxa"/>
            <w:vAlign w:val="center"/>
          </w:tcPr>
          <w:p>
            <w:pPr>
              <w:spacing w:line="460" w:lineRule="exact"/>
              <w:jc w:val="center"/>
              <w:rPr>
                <w:sz w:val="24"/>
              </w:rPr>
            </w:pPr>
            <w:r>
              <w:rPr>
                <w:rFonts w:hint="eastAsia"/>
                <w:sz w:val="24"/>
                <w:szCs w:val="24"/>
              </w:rPr>
              <w:t>张</w:t>
            </w:r>
          </w:p>
        </w:tc>
        <w:tc>
          <w:tcPr>
            <w:tcW w:w="780" w:type="dxa"/>
            <w:vAlign w:val="center"/>
          </w:tcPr>
          <w:p>
            <w:pPr>
              <w:spacing w:line="460" w:lineRule="exact"/>
              <w:jc w:val="center"/>
              <w:rPr>
                <w:sz w:val="24"/>
              </w:rPr>
            </w:pPr>
            <w:r>
              <w:rPr>
                <w:rFonts w:hint="eastAsia"/>
                <w:sz w:val="24"/>
                <w:szCs w:val="24"/>
              </w:rPr>
              <w:t>3000</w:t>
            </w:r>
          </w:p>
        </w:tc>
        <w:tc>
          <w:tcPr>
            <w:tcW w:w="1095" w:type="dxa"/>
            <w:vAlign w:val="center"/>
          </w:tcPr>
          <w:p>
            <w:pPr>
              <w:spacing w:line="460" w:lineRule="exact"/>
              <w:jc w:val="center"/>
              <w:rPr>
                <w:sz w:val="24"/>
              </w:rPr>
            </w:pPr>
          </w:p>
        </w:tc>
        <w:tc>
          <w:tcPr>
            <w:tcW w:w="1050" w:type="dxa"/>
            <w:vAlign w:val="center"/>
          </w:tcPr>
          <w:p>
            <w:pPr>
              <w:spacing w:line="460" w:lineRule="exact"/>
              <w:jc w:val="center"/>
              <w:rPr>
                <w:sz w:val="24"/>
              </w:rPr>
            </w:pPr>
          </w:p>
        </w:tc>
        <w:tc>
          <w:tcPr>
            <w:tcW w:w="1770" w:type="dxa"/>
            <w:vAlign w:val="center"/>
          </w:tcPr>
          <w:p>
            <w:pPr>
              <w:spacing w:line="460" w:lineRule="exact"/>
              <w:jc w:val="center"/>
              <w:rPr>
                <w:sz w:val="24"/>
              </w:rPr>
            </w:pPr>
            <w:r>
              <w:rPr>
                <w:sz w:val="24"/>
              </w:rPr>
              <w:drawing>
                <wp:anchor distT="0" distB="0" distL="114300" distR="114300" simplePos="0" relativeHeight="251661312" behindDoc="0" locked="0" layoutInCell="1" allowOverlap="1">
                  <wp:simplePos x="0" y="0"/>
                  <wp:positionH relativeFrom="column">
                    <wp:posOffset>67310</wp:posOffset>
                  </wp:positionH>
                  <wp:positionV relativeFrom="paragraph">
                    <wp:posOffset>-957580</wp:posOffset>
                  </wp:positionV>
                  <wp:extent cx="784225" cy="1106170"/>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84225" cy="1106170"/>
                          </a:xfrm>
                          <a:prstGeom prst="rect">
                            <a:avLst/>
                          </a:prstGeom>
                          <a:noFill/>
                        </pic:spPr>
                      </pic:pic>
                    </a:graphicData>
                  </a:graphic>
                </wp:anchor>
              </w:drawing>
            </w:r>
          </w:p>
        </w:tc>
      </w:tr>
    </w:tbl>
    <w:p>
      <w:pPr>
        <w:rPr>
          <w:b/>
          <w:bCs/>
        </w:rPr>
      </w:pPr>
    </w:p>
    <w:p>
      <w:pPr>
        <w:pStyle w:val="13"/>
        <w:numPr>
          <w:ilvl w:val="0"/>
          <w:numId w:val="2"/>
        </w:numPr>
        <w:ind w:firstLineChars="0"/>
        <w:rPr>
          <w:rFonts w:ascii="华文仿宋" w:hAnsi="华文仿宋" w:eastAsia="华文仿宋" w:cs="宋体"/>
          <w:kern w:val="0"/>
          <w:sz w:val="30"/>
          <w:szCs w:val="30"/>
        </w:rPr>
      </w:pPr>
      <w:r>
        <w:rPr>
          <w:rFonts w:hint="eastAsia" w:ascii="华文仿宋" w:hAnsi="华文仿宋" w:eastAsia="华文仿宋" w:cs="宋体"/>
          <w:kern w:val="0"/>
          <w:sz w:val="30"/>
          <w:szCs w:val="30"/>
        </w:rPr>
        <w:t>交货期限：中标人签订合同后，5个工作日内向采购人提供所购全部货物（具体日期以合同约定为准），</w:t>
      </w:r>
      <w:r>
        <w:rPr>
          <w:rFonts w:hint="eastAsia" w:ascii="华文仿宋" w:hAnsi="华文仿宋" w:eastAsia="华文仿宋" w:cs="宋体"/>
          <w:kern w:val="0"/>
          <w:sz w:val="30"/>
          <w:szCs w:val="30"/>
          <w:lang w:eastAsia="zh-CN"/>
        </w:rPr>
        <w:t>货物要求全新，</w:t>
      </w:r>
      <w:r>
        <w:rPr>
          <w:rFonts w:hint="eastAsia" w:ascii="华文仿宋" w:hAnsi="华文仿宋" w:eastAsia="华文仿宋" w:cs="宋体"/>
          <w:kern w:val="0"/>
          <w:sz w:val="30"/>
          <w:szCs w:val="30"/>
        </w:rPr>
        <w:t>送货地点广西交通职业技术学院四塘校区。</w:t>
      </w:r>
    </w:p>
    <w:p>
      <w:pPr>
        <w:pStyle w:val="13"/>
        <w:numPr>
          <w:ilvl w:val="0"/>
          <w:numId w:val="2"/>
        </w:numPr>
        <w:ind w:firstLineChars="0"/>
        <w:rPr>
          <w:rFonts w:ascii="华文仿宋" w:hAnsi="华文仿宋" w:eastAsia="华文仿宋" w:cs="宋体"/>
          <w:kern w:val="0"/>
          <w:sz w:val="30"/>
          <w:szCs w:val="30"/>
        </w:rPr>
      </w:pPr>
      <w:r>
        <w:rPr>
          <w:rFonts w:hint="eastAsia" w:ascii="华文仿宋" w:hAnsi="华文仿宋" w:eastAsia="华文仿宋" w:cs="微软雅黑"/>
          <w:sz w:val="30"/>
          <w:szCs w:val="30"/>
        </w:rPr>
        <w:t>付款方式：本项目无预付款，全部货物送完安装验收合格，提供正式发票后，以转账方式一次性付清全部货款。</w:t>
      </w:r>
    </w:p>
    <w:p>
      <w:pPr>
        <w:widowControl/>
        <w:ind w:firstLine="600" w:firstLineChars="200"/>
        <w:jc w:val="left"/>
        <w:rPr>
          <w:rFonts w:ascii="华文仿宋" w:hAnsi="华文仿宋" w:eastAsia="华文仿宋" w:cs="宋体"/>
          <w:kern w:val="0"/>
          <w:sz w:val="30"/>
          <w:szCs w:val="30"/>
        </w:rPr>
      </w:pPr>
      <w:r>
        <w:rPr>
          <w:rFonts w:hint="eastAsia" w:ascii="华文仿宋" w:hAnsi="华文仿宋" w:eastAsia="华文仿宋" w:cs="微软雅黑"/>
          <w:kern w:val="0"/>
          <w:sz w:val="30"/>
          <w:szCs w:val="30"/>
        </w:rPr>
        <w:t>4、中标人需严格按照合同要求进行供货。</w:t>
      </w:r>
    </w:p>
    <w:p>
      <w:pPr>
        <w:pStyle w:val="13"/>
        <w:spacing w:line="500" w:lineRule="exact"/>
        <w:ind w:firstLine="0"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三、投标单位要求</w:t>
      </w:r>
    </w:p>
    <w:p>
      <w:pPr>
        <w:pStyle w:val="13"/>
        <w:spacing w:line="500" w:lineRule="exact"/>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1、符合《中华人民共和国政府采购法》第二十二条规定</w:t>
      </w:r>
    </w:p>
    <w:p>
      <w:pPr>
        <w:pStyle w:val="13"/>
        <w:spacing w:line="500" w:lineRule="exact"/>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2、须在工商行政管理部门和税务部门登记注册。</w:t>
      </w:r>
    </w:p>
    <w:p>
      <w:pPr>
        <w:pStyle w:val="13"/>
        <w:spacing w:line="500" w:lineRule="exact"/>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3、营业执照须有招标项目的经营许可范围。</w:t>
      </w:r>
    </w:p>
    <w:p>
      <w:pPr>
        <w:pStyle w:val="13"/>
        <w:spacing w:line="500" w:lineRule="exact"/>
        <w:ind w:firstLine="600"/>
        <w:rPr>
          <w:rFonts w:ascii="华文仿宋" w:hAnsi="华文仿宋" w:eastAsia="华文仿宋" w:cs="华文仿宋"/>
          <w:sz w:val="30"/>
          <w:szCs w:val="30"/>
        </w:rPr>
      </w:pPr>
      <w:r>
        <w:rPr>
          <w:rFonts w:hint="eastAsia" w:ascii="华文仿宋" w:hAnsi="华文仿宋" w:eastAsia="华文仿宋" w:cs="华文仿宋"/>
          <w:sz w:val="30"/>
          <w:szCs w:val="30"/>
        </w:rPr>
        <w:t>4、本次询价不接受联合体报价。</w:t>
      </w:r>
    </w:p>
    <w:p>
      <w:pPr>
        <w:pStyle w:val="13"/>
        <w:spacing w:line="500" w:lineRule="exact"/>
        <w:ind w:firstLine="0" w:firstLineChars="0"/>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四、报价要求</w:t>
      </w:r>
    </w:p>
    <w:p>
      <w:pPr>
        <w:pStyle w:val="13"/>
        <w:numPr>
          <w:ilvl w:val="1"/>
          <w:numId w:val="1"/>
        </w:numPr>
        <w:spacing w:line="500" w:lineRule="exact"/>
        <w:ind w:firstLineChars="0"/>
        <w:rPr>
          <w:rFonts w:ascii="华文仿宋" w:hAnsi="华文仿宋" w:eastAsia="华文仿宋" w:cs="华文仿宋"/>
          <w:sz w:val="30"/>
          <w:szCs w:val="30"/>
        </w:rPr>
      </w:pPr>
      <w:r>
        <w:rPr>
          <w:rFonts w:hint="eastAsia" w:ascii="华文仿宋" w:hAnsi="华文仿宋" w:eastAsia="华文仿宋" w:cs="华文仿宋"/>
          <w:sz w:val="30"/>
          <w:szCs w:val="30"/>
        </w:rPr>
        <w:t>投标报价应包括开票税金等费用（综合报价）。</w:t>
      </w:r>
    </w:p>
    <w:p>
      <w:pPr>
        <w:pStyle w:val="13"/>
        <w:numPr>
          <w:ilvl w:val="0"/>
          <w:numId w:val="0"/>
        </w:numPr>
        <w:spacing w:line="500" w:lineRule="exact"/>
        <w:ind w:left="420" w:leftChars="0"/>
        <w:rPr>
          <w:rFonts w:ascii="华文仿宋" w:hAnsi="华文仿宋" w:eastAsia="华文仿宋" w:cs="华文仿宋"/>
          <w:sz w:val="30"/>
          <w:szCs w:val="30"/>
        </w:rPr>
      </w:pPr>
      <w:r>
        <w:rPr>
          <w:rFonts w:hint="eastAsia" w:ascii="华文仿宋" w:hAnsi="华文仿宋" w:eastAsia="华文仿宋" w:cs="华文仿宋"/>
          <w:sz w:val="30"/>
          <w:szCs w:val="30"/>
          <w:lang w:val="en-US" w:eastAsia="zh-CN"/>
        </w:rPr>
        <w:t>2、</w:t>
      </w:r>
      <w:r>
        <w:rPr>
          <w:rFonts w:hint="eastAsia" w:ascii="华文仿宋" w:hAnsi="华文仿宋" w:eastAsia="华文仿宋" w:cs="华文仿宋"/>
          <w:sz w:val="30"/>
          <w:szCs w:val="30"/>
        </w:rPr>
        <w:t>投标方报价应考虑现场环境以及市场变化等各种因素，合同一旦确定，不再另赠任何费用。</w:t>
      </w:r>
    </w:p>
    <w:p>
      <w:pPr>
        <w:pStyle w:val="13"/>
        <w:spacing w:line="500" w:lineRule="exact"/>
        <w:ind w:firstLine="0" w:firstLineChars="0"/>
        <w:rPr>
          <w:rFonts w:ascii="华文仿宋" w:hAnsi="华文仿宋" w:eastAsia="华文仿宋" w:cs="华文仿宋"/>
          <w:sz w:val="30"/>
          <w:szCs w:val="30"/>
        </w:rPr>
      </w:pPr>
      <w:r>
        <w:rPr>
          <w:rFonts w:hint="eastAsia" w:ascii="宋体" w:hAnsi="宋体" w:eastAsia="宋体" w:cs="宋体"/>
          <w:b/>
          <w:bCs/>
          <w:color w:val="000000"/>
          <w:kern w:val="0"/>
          <w:sz w:val="28"/>
          <w:szCs w:val="28"/>
        </w:rPr>
        <w:t>五、投标文件递交</w:t>
      </w:r>
      <w:r>
        <w:rPr>
          <w:rFonts w:hint="eastAsia" w:ascii="华文仿宋" w:hAnsi="华文仿宋" w:eastAsia="华文仿宋" w:cs="华文仿宋"/>
          <w:sz w:val="30"/>
          <w:szCs w:val="30"/>
        </w:rPr>
        <w:t>（以下文件需盖公章并密封）</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1、投标报价明细表</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2、有效营业执照副本复印件、有效资质证书副本复印件</w:t>
      </w:r>
      <w:bookmarkStart w:id="0" w:name="_Toc29942"/>
      <w:bookmarkStart w:id="1" w:name="_Toc18274"/>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3法定代表人授权书原件和委托代理人身份证复印件及法定代表人身份证明和法定代表人身份证复印件</w:t>
      </w:r>
      <w:bookmarkEnd w:id="0"/>
      <w:bookmarkEnd w:id="1"/>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4、法定代表人授权委托书</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5、公司业绩</w:t>
      </w:r>
      <w:r>
        <w:rPr>
          <w:rFonts w:ascii="华文仿宋" w:hAnsi="华文仿宋" w:eastAsia="华文仿宋" w:cs="华文仿宋"/>
          <w:sz w:val="30"/>
          <w:szCs w:val="30"/>
        </w:rPr>
        <w:t xml:space="preserve"> </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六、询价采购文件的获取</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1、发售时间：本次采购无出售标书，凡有意参加投标者,请于 2018年7月10日 至 2018年7月12日递交询价文件。</w:t>
      </w:r>
      <w:r>
        <w:rPr>
          <w:rFonts w:ascii="华文仿宋" w:hAnsi="华文仿宋" w:eastAsia="华文仿宋" w:cs="华文仿宋"/>
          <w:sz w:val="30"/>
          <w:szCs w:val="30"/>
        </w:rPr>
        <w:t xml:space="preserve"> </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七、询价采购文件的递交截止时间</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1．文件递交的截止时间 ( 投标截止时间,下同 ) 为 2018年7月12日16时00分为止。</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八、投标地址</w:t>
      </w:r>
    </w:p>
    <w:p>
      <w:pPr>
        <w:spacing w:line="500" w:lineRule="exact"/>
        <w:ind w:firstLine="300" w:firstLineChars="100"/>
        <w:rPr>
          <w:rFonts w:ascii="华文仿宋" w:hAnsi="华文仿宋" w:eastAsia="华文仿宋" w:cs="华文仿宋"/>
          <w:sz w:val="30"/>
          <w:szCs w:val="30"/>
        </w:rPr>
      </w:pPr>
      <w:r>
        <w:rPr>
          <w:rFonts w:hint="eastAsia" w:ascii="华文仿宋" w:hAnsi="华文仿宋" w:eastAsia="华文仿宋" w:cs="华文仿宋"/>
          <w:sz w:val="30"/>
          <w:szCs w:val="30"/>
        </w:rPr>
        <w:t>竞标人必须在投标截止时间前将投标文件送达广西交通职业技术学院四塘校区物流管理楼设备处（202办公室）。逾期送达的或者未送达指定地点或者不按照招标文件要求密封的投标文件，招标人不予受理。</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九、评标方式</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采购询价</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xml:space="preserve">十、发布公告的媒介 </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本次招标公告在广西交通职业技术学院官网发布</w:t>
      </w:r>
    </w:p>
    <w:p>
      <w:pPr>
        <w:spacing w:line="500" w:lineRule="exact"/>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 xml:space="preserve">十一、监督部门 </w:t>
      </w:r>
    </w:p>
    <w:p>
      <w:pPr>
        <w:spacing w:line="500" w:lineRule="exact"/>
        <w:ind w:firstLine="639" w:firstLineChars="213"/>
        <w:rPr>
          <w:rFonts w:ascii="华文仿宋" w:hAnsi="华文仿宋" w:eastAsia="华文仿宋" w:cs="华文仿宋"/>
          <w:sz w:val="30"/>
          <w:szCs w:val="30"/>
        </w:rPr>
      </w:pPr>
      <w:r>
        <w:rPr>
          <w:rFonts w:hint="eastAsia" w:ascii="华文仿宋" w:hAnsi="华文仿宋" w:eastAsia="华文仿宋" w:cs="华文仿宋"/>
          <w:sz w:val="30"/>
          <w:szCs w:val="30"/>
        </w:rPr>
        <w:t xml:space="preserve">广西交通职业技术学院纪检监察审计室 </w:t>
      </w:r>
    </w:p>
    <w:p>
      <w:pPr>
        <w:spacing w:line="500" w:lineRule="exact"/>
        <w:rPr>
          <w:rFonts w:ascii="华文仿宋" w:hAnsi="华文仿宋" w:eastAsia="华文仿宋" w:cs="华文仿宋"/>
          <w:sz w:val="30"/>
          <w:szCs w:val="30"/>
        </w:rPr>
      </w:pPr>
      <w:bookmarkStart w:id="2" w:name="_GoBack"/>
      <w:bookmarkEnd w:id="2"/>
      <w:r>
        <w:rPr>
          <w:rFonts w:hint="eastAsia" w:ascii="华文仿宋" w:hAnsi="华文仿宋" w:eastAsia="华文仿宋" w:cs="华文仿宋"/>
          <w:sz w:val="30"/>
          <w:szCs w:val="30"/>
        </w:rPr>
        <w:t>招标人：广西交通职业技术学院</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地址: 南宁市兴宁区三塘镇四塘社区广西交通职业技术学院内</w:t>
      </w: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联系人：李老师    电话：0771-5650355 5635347</w:t>
      </w:r>
    </w:p>
    <w:p>
      <w:pPr>
        <w:spacing w:line="500" w:lineRule="exact"/>
        <w:rPr>
          <w:rFonts w:ascii="华文仿宋" w:hAnsi="华文仿宋" w:eastAsia="华文仿宋" w:cs="华文仿宋"/>
          <w:sz w:val="30"/>
          <w:szCs w:val="30"/>
        </w:rPr>
      </w:pPr>
    </w:p>
    <w:p>
      <w:pPr>
        <w:spacing w:line="500" w:lineRule="exact"/>
        <w:rPr>
          <w:rFonts w:ascii="华文仿宋" w:hAnsi="华文仿宋" w:eastAsia="华文仿宋" w:cs="华文仿宋"/>
          <w:sz w:val="30"/>
          <w:szCs w:val="30"/>
        </w:rPr>
      </w:pPr>
      <w:r>
        <w:rPr>
          <w:rFonts w:hint="eastAsia" w:ascii="华文仿宋" w:hAnsi="华文仿宋" w:eastAsia="华文仿宋" w:cs="华文仿宋"/>
          <w:sz w:val="30"/>
          <w:szCs w:val="30"/>
        </w:rPr>
        <w:t xml:space="preserve">                              2018年7月9日</w:t>
      </w:r>
    </w:p>
    <w:p>
      <w:pPr>
        <w:spacing w:line="520" w:lineRule="exact"/>
        <w:jc w:val="left"/>
        <w:rPr>
          <w:b/>
          <w:sz w:val="28"/>
          <w:szCs w:val="28"/>
        </w:rPr>
      </w:pPr>
      <w:r>
        <w:rPr>
          <w:rFonts w:hint="eastAsia"/>
          <w:b/>
          <w:sz w:val="28"/>
          <w:szCs w:val="28"/>
        </w:rPr>
        <w:t>附件：</w:t>
      </w:r>
    </w:p>
    <w:p>
      <w:pPr>
        <w:spacing w:line="520" w:lineRule="exact"/>
        <w:jc w:val="center"/>
        <w:rPr>
          <w:b/>
          <w:sz w:val="44"/>
          <w:szCs w:val="44"/>
        </w:rPr>
      </w:pPr>
      <w:r>
        <w:rPr>
          <w:rFonts w:hint="eastAsia"/>
          <w:b/>
          <w:sz w:val="44"/>
          <w:szCs w:val="44"/>
        </w:rPr>
        <w:t>产品购销合同</w:t>
      </w:r>
    </w:p>
    <w:p>
      <w:pPr>
        <w:spacing w:line="520" w:lineRule="exact"/>
        <w:rPr>
          <w:b/>
          <w:sz w:val="24"/>
        </w:rPr>
      </w:pPr>
    </w:p>
    <w:p>
      <w:pPr>
        <w:spacing w:line="520" w:lineRule="exact"/>
        <w:rPr>
          <w:b/>
          <w:sz w:val="24"/>
        </w:rPr>
      </w:pPr>
      <w:r>
        <w:rPr>
          <w:rFonts w:hint="eastAsia"/>
          <w:b/>
          <w:sz w:val="24"/>
        </w:rPr>
        <w:t>甲方：广西交通职业技术学院</w:t>
      </w:r>
    </w:p>
    <w:p>
      <w:pPr>
        <w:spacing w:line="520" w:lineRule="exact"/>
        <w:rPr>
          <w:b/>
          <w:sz w:val="24"/>
        </w:rPr>
      </w:pPr>
      <w:r>
        <w:rPr>
          <w:rFonts w:hint="eastAsia"/>
          <w:b/>
          <w:sz w:val="24"/>
        </w:rPr>
        <w:t xml:space="preserve">乙方：    </w:t>
      </w:r>
    </w:p>
    <w:p>
      <w:pPr>
        <w:spacing w:line="520" w:lineRule="exact"/>
        <w:ind w:firstLine="482" w:firstLineChars="200"/>
        <w:rPr>
          <w:b/>
          <w:sz w:val="24"/>
        </w:rPr>
      </w:pPr>
    </w:p>
    <w:p>
      <w:pPr>
        <w:spacing w:line="520" w:lineRule="exact"/>
        <w:ind w:firstLine="482" w:firstLineChars="200"/>
        <w:rPr>
          <w:b/>
          <w:sz w:val="24"/>
        </w:rPr>
      </w:pPr>
      <w:r>
        <w:rPr>
          <w:rFonts w:hint="eastAsia"/>
          <w:b/>
          <w:sz w:val="24"/>
        </w:rPr>
        <w:t>甲、乙双方依据《中华人民共和国合同法》及相关法律法规的规定，本着平等自愿、互惠互利、友好协商的原则，就甲方购买乙方货物事宜达成如下协议，以便共同遵守。</w:t>
      </w:r>
    </w:p>
    <w:p>
      <w:pPr>
        <w:numPr>
          <w:ilvl w:val="0"/>
          <w:numId w:val="3"/>
        </w:numPr>
        <w:spacing w:line="520" w:lineRule="exact"/>
        <w:rPr>
          <w:b/>
          <w:sz w:val="24"/>
        </w:rPr>
      </w:pPr>
      <w:r>
        <w:rPr>
          <w:rFonts w:hint="eastAsia"/>
          <w:b/>
          <w:sz w:val="24"/>
        </w:rPr>
        <w:t>甲方向乙方所购</w:t>
      </w:r>
      <w:r>
        <w:rPr>
          <w:rFonts w:hint="eastAsia"/>
          <w:b/>
          <w:sz w:val="24"/>
          <w:lang w:eastAsia="zh-CN"/>
        </w:rPr>
        <w:t>货物</w:t>
      </w:r>
      <w:r>
        <w:rPr>
          <w:rFonts w:hint="eastAsia"/>
          <w:b/>
          <w:sz w:val="24"/>
        </w:rPr>
        <w:t>（附清单）；总货款为（大写）：</w:t>
      </w:r>
    </w:p>
    <w:tbl>
      <w:tblPr>
        <w:tblStyle w:val="10"/>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998"/>
        <w:gridCol w:w="950"/>
        <w:gridCol w:w="780"/>
        <w:gridCol w:w="1095"/>
        <w:gridCol w:w="1050"/>
        <w:gridCol w:w="1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1218" w:type="dxa"/>
            <w:vAlign w:val="center"/>
          </w:tcPr>
          <w:p>
            <w:pPr>
              <w:spacing w:line="460" w:lineRule="exact"/>
              <w:jc w:val="center"/>
              <w:rPr>
                <w:sz w:val="24"/>
              </w:rPr>
            </w:pPr>
            <w:r>
              <w:rPr>
                <w:rFonts w:hint="eastAsia"/>
                <w:sz w:val="24"/>
                <w:szCs w:val="24"/>
              </w:rPr>
              <w:t>名称</w:t>
            </w:r>
          </w:p>
        </w:tc>
        <w:tc>
          <w:tcPr>
            <w:tcW w:w="2998" w:type="dxa"/>
            <w:vAlign w:val="center"/>
          </w:tcPr>
          <w:p>
            <w:pPr>
              <w:spacing w:line="460" w:lineRule="exact"/>
              <w:jc w:val="center"/>
              <w:rPr>
                <w:sz w:val="24"/>
              </w:rPr>
            </w:pPr>
            <w:r>
              <w:rPr>
                <w:rFonts w:hint="eastAsia"/>
                <w:sz w:val="24"/>
                <w:szCs w:val="24"/>
              </w:rPr>
              <w:t>规格</w:t>
            </w:r>
          </w:p>
        </w:tc>
        <w:tc>
          <w:tcPr>
            <w:tcW w:w="950" w:type="dxa"/>
            <w:vAlign w:val="center"/>
          </w:tcPr>
          <w:p>
            <w:pPr>
              <w:spacing w:line="460" w:lineRule="exact"/>
              <w:jc w:val="center"/>
              <w:rPr>
                <w:sz w:val="24"/>
              </w:rPr>
            </w:pPr>
            <w:r>
              <w:rPr>
                <w:rFonts w:hint="eastAsia"/>
                <w:sz w:val="24"/>
                <w:szCs w:val="24"/>
              </w:rPr>
              <w:t>单位</w:t>
            </w:r>
          </w:p>
        </w:tc>
        <w:tc>
          <w:tcPr>
            <w:tcW w:w="780" w:type="dxa"/>
            <w:vAlign w:val="center"/>
          </w:tcPr>
          <w:p>
            <w:pPr>
              <w:spacing w:line="460" w:lineRule="exact"/>
              <w:jc w:val="center"/>
              <w:rPr>
                <w:sz w:val="24"/>
              </w:rPr>
            </w:pPr>
            <w:r>
              <w:rPr>
                <w:rFonts w:hint="eastAsia"/>
                <w:sz w:val="24"/>
                <w:szCs w:val="24"/>
              </w:rPr>
              <w:t>数量</w:t>
            </w:r>
          </w:p>
        </w:tc>
        <w:tc>
          <w:tcPr>
            <w:tcW w:w="1095" w:type="dxa"/>
            <w:vAlign w:val="center"/>
          </w:tcPr>
          <w:p>
            <w:pPr>
              <w:spacing w:line="460" w:lineRule="exact"/>
              <w:jc w:val="center"/>
              <w:rPr>
                <w:sz w:val="24"/>
              </w:rPr>
            </w:pPr>
            <w:r>
              <w:rPr>
                <w:rFonts w:hint="eastAsia"/>
                <w:sz w:val="24"/>
                <w:szCs w:val="24"/>
              </w:rPr>
              <w:t>单价</w:t>
            </w:r>
          </w:p>
        </w:tc>
        <w:tc>
          <w:tcPr>
            <w:tcW w:w="1050" w:type="dxa"/>
            <w:vAlign w:val="center"/>
          </w:tcPr>
          <w:p>
            <w:pPr>
              <w:spacing w:line="460" w:lineRule="exact"/>
              <w:jc w:val="center"/>
              <w:rPr>
                <w:sz w:val="24"/>
              </w:rPr>
            </w:pPr>
            <w:r>
              <w:rPr>
                <w:rFonts w:hint="eastAsia"/>
                <w:sz w:val="24"/>
                <w:szCs w:val="24"/>
              </w:rPr>
              <w:t>合计</w:t>
            </w:r>
          </w:p>
        </w:tc>
        <w:tc>
          <w:tcPr>
            <w:tcW w:w="1770" w:type="dxa"/>
            <w:vAlign w:val="center"/>
          </w:tcPr>
          <w:p>
            <w:pPr>
              <w:spacing w:line="460" w:lineRule="exact"/>
              <w:jc w:val="center"/>
              <w:rPr>
                <w:sz w:val="24"/>
              </w:rPr>
            </w:pPr>
            <w:r>
              <w:rPr>
                <w:rFonts w:hint="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atLeast"/>
        </w:trPr>
        <w:tc>
          <w:tcPr>
            <w:tcW w:w="1218" w:type="dxa"/>
            <w:vAlign w:val="center"/>
          </w:tcPr>
          <w:p>
            <w:pPr>
              <w:widowControl/>
              <w:rPr>
                <w:sz w:val="24"/>
              </w:rPr>
            </w:pPr>
            <w:r>
              <w:rPr>
                <w:rFonts w:hint="eastAsia" w:ascii="华文仿宋" w:hAnsi="华文仿宋" w:eastAsia="华文仿宋" w:cs="华文仿宋"/>
                <w:sz w:val="30"/>
                <w:szCs w:val="30"/>
              </w:rPr>
              <w:t>加厚塑料凳</w:t>
            </w:r>
          </w:p>
        </w:tc>
        <w:tc>
          <w:tcPr>
            <w:tcW w:w="2998" w:type="dxa"/>
            <w:vAlign w:val="center"/>
          </w:tcPr>
          <w:p>
            <w:pPr>
              <w:spacing w:line="460" w:lineRule="exact"/>
              <w:jc w:val="center"/>
              <w:rPr>
                <w:sz w:val="24"/>
              </w:rPr>
            </w:pPr>
            <w:r>
              <w:rPr>
                <w:rFonts w:hint="eastAsia"/>
                <w:sz w:val="24"/>
                <w:szCs w:val="24"/>
              </w:rPr>
              <w:t>加厚塑料凳（优质PP材料，承重：300斤以上；大号凳面直径26cm高27cm底直径32cm）</w:t>
            </w:r>
          </w:p>
        </w:tc>
        <w:tc>
          <w:tcPr>
            <w:tcW w:w="950" w:type="dxa"/>
            <w:vAlign w:val="center"/>
          </w:tcPr>
          <w:p>
            <w:pPr>
              <w:spacing w:line="460" w:lineRule="exact"/>
              <w:jc w:val="center"/>
              <w:rPr>
                <w:sz w:val="24"/>
              </w:rPr>
            </w:pPr>
            <w:r>
              <w:rPr>
                <w:rFonts w:hint="eastAsia"/>
                <w:sz w:val="24"/>
                <w:szCs w:val="24"/>
              </w:rPr>
              <w:t>张</w:t>
            </w:r>
          </w:p>
        </w:tc>
        <w:tc>
          <w:tcPr>
            <w:tcW w:w="780" w:type="dxa"/>
            <w:vAlign w:val="center"/>
          </w:tcPr>
          <w:p>
            <w:pPr>
              <w:spacing w:line="460" w:lineRule="exact"/>
              <w:jc w:val="center"/>
              <w:rPr>
                <w:sz w:val="24"/>
              </w:rPr>
            </w:pPr>
            <w:r>
              <w:rPr>
                <w:rFonts w:hint="eastAsia"/>
                <w:sz w:val="24"/>
                <w:szCs w:val="24"/>
              </w:rPr>
              <w:t>3000</w:t>
            </w:r>
          </w:p>
        </w:tc>
        <w:tc>
          <w:tcPr>
            <w:tcW w:w="1095" w:type="dxa"/>
            <w:vAlign w:val="center"/>
          </w:tcPr>
          <w:p>
            <w:pPr>
              <w:spacing w:line="460" w:lineRule="exact"/>
              <w:jc w:val="center"/>
              <w:rPr>
                <w:sz w:val="24"/>
              </w:rPr>
            </w:pPr>
          </w:p>
        </w:tc>
        <w:tc>
          <w:tcPr>
            <w:tcW w:w="1050" w:type="dxa"/>
            <w:vAlign w:val="center"/>
          </w:tcPr>
          <w:p>
            <w:pPr>
              <w:spacing w:line="460" w:lineRule="exact"/>
              <w:jc w:val="center"/>
              <w:rPr>
                <w:sz w:val="24"/>
              </w:rPr>
            </w:pPr>
          </w:p>
        </w:tc>
        <w:tc>
          <w:tcPr>
            <w:tcW w:w="1770" w:type="dxa"/>
            <w:vAlign w:val="center"/>
          </w:tcPr>
          <w:p>
            <w:pPr>
              <w:spacing w:line="460" w:lineRule="exact"/>
              <w:jc w:val="center"/>
              <w:rPr>
                <w:sz w:val="24"/>
              </w:rPr>
            </w:pPr>
            <w:r>
              <w:rPr>
                <w:sz w:val="24"/>
              </w:rPr>
              <w:drawing>
                <wp:anchor distT="0" distB="0" distL="114300" distR="114300" simplePos="0" relativeHeight="251663360" behindDoc="0" locked="0" layoutInCell="1" allowOverlap="1">
                  <wp:simplePos x="0" y="0"/>
                  <wp:positionH relativeFrom="column">
                    <wp:posOffset>67310</wp:posOffset>
                  </wp:positionH>
                  <wp:positionV relativeFrom="paragraph">
                    <wp:posOffset>-957580</wp:posOffset>
                  </wp:positionV>
                  <wp:extent cx="784225" cy="1106170"/>
                  <wp:effectExtent l="0" t="0" r="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784225" cy="1106170"/>
                          </a:xfrm>
                          <a:prstGeom prst="rect">
                            <a:avLst/>
                          </a:prstGeom>
                          <a:noFill/>
                        </pic:spPr>
                      </pic:pic>
                    </a:graphicData>
                  </a:graphic>
                </wp:anchor>
              </w:drawing>
            </w:r>
          </w:p>
        </w:tc>
      </w:tr>
    </w:tbl>
    <w:p>
      <w:pPr>
        <w:spacing w:line="520" w:lineRule="exact"/>
        <w:rPr>
          <w:b/>
          <w:sz w:val="24"/>
        </w:rPr>
      </w:pPr>
      <w:r>
        <w:rPr>
          <w:rFonts w:hint="eastAsia"/>
          <w:b/>
          <w:sz w:val="24"/>
        </w:rPr>
        <w:t>二、双方的权利和义务</w:t>
      </w:r>
    </w:p>
    <w:p>
      <w:pPr>
        <w:spacing w:line="520" w:lineRule="exact"/>
        <w:ind w:firstLine="435"/>
        <w:rPr>
          <w:b/>
          <w:sz w:val="24"/>
        </w:rPr>
      </w:pPr>
      <w:r>
        <w:rPr>
          <w:rFonts w:hint="eastAsia"/>
          <w:b/>
          <w:sz w:val="24"/>
        </w:rPr>
        <w:t>1、乙方在本合同签订之日起</w:t>
      </w:r>
      <w:r>
        <w:rPr>
          <w:rFonts w:hint="eastAsia"/>
          <w:b/>
          <w:sz w:val="24"/>
          <w:lang w:val="en-US" w:eastAsia="zh-CN"/>
        </w:rPr>
        <w:t>5</w:t>
      </w:r>
      <w:r>
        <w:rPr>
          <w:rFonts w:hint="eastAsia"/>
          <w:b/>
          <w:sz w:val="24"/>
        </w:rPr>
        <w:t>个工作日内向甲方提供所购全部</w:t>
      </w:r>
      <w:r>
        <w:rPr>
          <w:rFonts w:hint="eastAsia"/>
          <w:b/>
          <w:sz w:val="24"/>
          <w:lang w:eastAsia="zh-CN"/>
        </w:rPr>
        <w:t>全新</w:t>
      </w:r>
      <w:r>
        <w:rPr>
          <w:rFonts w:hint="eastAsia"/>
          <w:b/>
          <w:sz w:val="24"/>
        </w:rPr>
        <w:t>货物及开具相等金额的正式发票。</w:t>
      </w:r>
    </w:p>
    <w:p>
      <w:pPr>
        <w:spacing w:line="520" w:lineRule="exact"/>
        <w:ind w:firstLine="435"/>
        <w:rPr>
          <w:b/>
          <w:sz w:val="24"/>
        </w:rPr>
      </w:pPr>
      <w:r>
        <w:rPr>
          <w:rFonts w:hint="eastAsia"/>
          <w:b/>
          <w:sz w:val="24"/>
        </w:rPr>
        <w:t>2、乙方对所提供的货物的质量负责，质保期内，乙方按照货物生产厂家质保规定和国家相关法律规定（以标准较高者为准）免费提供质保维修服务。</w:t>
      </w:r>
    </w:p>
    <w:p>
      <w:pPr>
        <w:numPr>
          <w:ilvl w:val="0"/>
          <w:numId w:val="4"/>
        </w:numPr>
        <w:spacing w:line="520" w:lineRule="exact"/>
        <w:ind w:firstLine="435"/>
        <w:rPr>
          <w:b/>
          <w:sz w:val="24"/>
        </w:rPr>
      </w:pPr>
      <w:r>
        <w:rPr>
          <w:rFonts w:hint="eastAsia"/>
          <w:b/>
          <w:sz w:val="24"/>
        </w:rPr>
        <w:t>本项目无预付款，乙方将货物运达甲方约定交货地点</w:t>
      </w:r>
      <w:r>
        <w:rPr>
          <w:rFonts w:hint="eastAsia" w:asciiTheme="minorEastAsia" w:hAnsiTheme="minorEastAsia" w:cstheme="minorEastAsia"/>
          <w:b/>
          <w:bCs/>
          <w:kern w:val="0"/>
          <w:sz w:val="24"/>
          <w:szCs w:val="24"/>
          <w:lang w:eastAsia="zh-CN"/>
        </w:rPr>
        <w:t>（</w:t>
      </w:r>
      <w:r>
        <w:rPr>
          <w:rFonts w:hint="eastAsia" w:asciiTheme="minorEastAsia" w:hAnsiTheme="minorEastAsia" w:eastAsiaTheme="minorEastAsia" w:cstheme="minorEastAsia"/>
          <w:b/>
          <w:bCs/>
          <w:kern w:val="0"/>
          <w:sz w:val="24"/>
          <w:szCs w:val="24"/>
        </w:rPr>
        <w:t>广西交通职业技术学院四塘校区</w:t>
      </w:r>
      <w:r>
        <w:rPr>
          <w:rFonts w:hint="eastAsia" w:asciiTheme="minorEastAsia" w:hAnsiTheme="minorEastAsia" w:eastAsiaTheme="minorEastAsia" w:cstheme="minorEastAsia"/>
          <w:b/>
          <w:bCs/>
          <w:kern w:val="0"/>
          <w:sz w:val="24"/>
          <w:szCs w:val="24"/>
          <w:lang w:eastAsia="zh-CN"/>
        </w:rPr>
        <w:t>指定地点</w:t>
      </w:r>
      <w:r>
        <w:rPr>
          <w:rFonts w:hint="eastAsia" w:asciiTheme="minorEastAsia" w:hAnsiTheme="minorEastAsia" w:cstheme="minorEastAsia"/>
          <w:b/>
          <w:bCs/>
          <w:kern w:val="0"/>
          <w:sz w:val="24"/>
          <w:szCs w:val="24"/>
          <w:lang w:eastAsia="zh-CN"/>
        </w:rPr>
        <w:t>），</w:t>
      </w:r>
      <w:r>
        <w:rPr>
          <w:rFonts w:hint="eastAsia"/>
          <w:b/>
          <w:sz w:val="24"/>
        </w:rPr>
        <w:t>由甲方验收合格后，甲方应在十五个工作日内一次性支付完本合同货款。</w:t>
      </w:r>
    </w:p>
    <w:p>
      <w:pPr>
        <w:numPr>
          <w:ilvl w:val="0"/>
          <w:numId w:val="4"/>
        </w:numPr>
        <w:spacing w:line="520" w:lineRule="exact"/>
        <w:ind w:firstLine="435"/>
        <w:rPr>
          <w:b/>
          <w:sz w:val="24"/>
        </w:rPr>
      </w:pPr>
      <w:r>
        <w:rPr>
          <w:rFonts w:hint="eastAsia"/>
          <w:b/>
          <w:sz w:val="24"/>
        </w:rPr>
        <w:t>甲方无故逾期验收或办理合同款支付手续的，甲方应按逾期付款每日万分之五向乙方支付违约金。</w:t>
      </w:r>
    </w:p>
    <w:p>
      <w:pPr>
        <w:numPr>
          <w:ilvl w:val="0"/>
          <w:numId w:val="4"/>
        </w:numPr>
        <w:spacing w:line="520" w:lineRule="exact"/>
        <w:ind w:firstLine="435"/>
        <w:rPr>
          <w:b/>
          <w:sz w:val="24"/>
        </w:rPr>
      </w:pPr>
      <w:r>
        <w:rPr>
          <w:rFonts w:hint="eastAsia"/>
          <w:b/>
          <w:sz w:val="24"/>
        </w:rPr>
        <w:t>乙方逾期交付货物的，乙方应按逾期交货总额每日万分五向甲方支付违约金，由甲方从待付合同款中扣除。</w:t>
      </w:r>
    </w:p>
    <w:p>
      <w:pPr>
        <w:numPr>
          <w:ilvl w:val="0"/>
          <w:numId w:val="4"/>
        </w:numPr>
        <w:spacing w:line="520" w:lineRule="exact"/>
        <w:ind w:firstLine="435"/>
        <w:rPr>
          <w:b/>
          <w:sz w:val="24"/>
        </w:rPr>
      </w:pPr>
      <w:r>
        <w:rPr>
          <w:rFonts w:hint="eastAsia"/>
          <w:b/>
          <w:sz w:val="24"/>
        </w:rPr>
        <w:t>乙方所交的货物品种、型号、规格、技术参数、质量不符合合同所规定的规格型号标准的，甲方有权拒收该货物，乙方愿意更换货物但逾期交货的，按乙方逾期交货处理。乙方拒绝更换货物的，甲方可单方面解除合同。</w:t>
      </w:r>
    </w:p>
    <w:p>
      <w:pPr>
        <w:spacing w:line="520" w:lineRule="exact"/>
        <w:rPr>
          <w:b/>
          <w:sz w:val="24"/>
        </w:rPr>
      </w:pPr>
      <w:r>
        <w:rPr>
          <w:rFonts w:hint="eastAsia"/>
          <w:b/>
          <w:sz w:val="24"/>
        </w:rPr>
        <w:t>三、本合同一式贰份，具有同等法律效力，甲乙方各执壹份，经甲乙双方签字盖章后生效。未尽事宜，协商解决。</w:t>
      </w:r>
    </w:p>
    <w:p>
      <w:pPr>
        <w:spacing w:line="520" w:lineRule="exact"/>
        <w:rPr>
          <w:b/>
          <w:sz w:val="24"/>
        </w:rPr>
      </w:pPr>
    </w:p>
    <w:p>
      <w:pPr>
        <w:spacing w:line="520" w:lineRule="exact"/>
        <w:rPr>
          <w:b/>
          <w:sz w:val="24"/>
        </w:rPr>
      </w:pPr>
      <w:r>
        <w:rPr>
          <w:rFonts w:hint="eastAsia"/>
          <w:b/>
          <w:sz w:val="24"/>
        </w:rPr>
        <w:t>甲方（章）：广西交通职业技术学院          乙方（章）：</w:t>
      </w:r>
    </w:p>
    <w:p>
      <w:pPr>
        <w:spacing w:line="520" w:lineRule="exact"/>
        <w:rPr>
          <w:b/>
          <w:sz w:val="24"/>
        </w:rPr>
      </w:pPr>
      <w:r>
        <w:rPr>
          <w:rFonts w:hint="eastAsia"/>
          <w:b/>
          <w:sz w:val="24"/>
        </w:rPr>
        <w:t>地址： 南宁市园湖北路12号                    地址：</w:t>
      </w:r>
    </w:p>
    <w:p>
      <w:pPr>
        <w:spacing w:line="600" w:lineRule="exact"/>
        <w:rPr>
          <w:b/>
          <w:sz w:val="24"/>
        </w:rPr>
      </w:pPr>
      <w:r>
        <w:rPr>
          <w:rFonts w:hint="eastAsia"/>
          <w:b/>
          <w:sz w:val="24"/>
        </w:rPr>
        <w:t>甲方代表：                                 乙方代表：</w:t>
      </w:r>
    </w:p>
    <w:p>
      <w:pPr>
        <w:spacing w:line="600" w:lineRule="exact"/>
        <w:rPr>
          <w:b/>
          <w:sz w:val="24"/>
        </w:rPr>
      </w:pPr>
      <w:r>
        <w:rPr>
          <w:rFonts w:hint="eastAsia"/>
          <w:b/>
          <w:sz w:val="24"/>
        </w:rPr>
        <w:t>电话： 0771-5650355  5635347                    电话：</w:t>
      </w:r>
    </w:p>
    <w:p>
      <w:pPr>
        <w:spacing w:line="600" w:lineRule="exact"/>
        <w:rPr>
          <w:b/>
          <w:sz w:val="24"/>
        </w:rPr>
      </w:pPr>
      <w:r>
        <w:rPr>
          <w:rFonts w:hint="eastAsia"/>
          <w:b/>
          <w:sz w:val="24"/>
        </w:rPr>
        <w:t xml:space="preserve">                                          开户名称：</w:t>
      </w:r>
    </w:p>
    <w:p>
      <w:pPr>
        <w:spacing w:line="600" w:lineRule="exact"/>
        <w:ind w:firstLine="1299" w:firstLineChars="539"/>
        <w:rPr>
          <w:b/>
          <w:sz w:val="24"/>
        </w:rPr>
      </w:pPr>
      <w:r>
        <w:rPr>
          <w:rFonts w:hint="eastAsia"/>
          <w:b/>
          <w:sz w:val="24"/>
        </w:rPr>
        <w:t xml:space="preserve">                              开户银行：</w:t>
      </w:r>
    </w:p>
    <w:p>
      <w:pPr>
        <w:spacing w:line="600" w:lineRule="exact"/>
        <w:ind w:firstLine="1299" w:firstLineChars="539"/>
        <w:rPr>
          <w:b/>
          <w:sz w:val="24"/>
        </w:rPr>
      </w:pPr>
      <w:r>
        <w:rPr>
          <w:rFonts w:hint="eastAsia"/>
          <w:b/>
          <w:sz w:val="24"/>
        </w:rPr>
        <w:t xml:space="preserve">                               银行账号：</w:t>
      </w:r>
    </w:p>
    <w:p>
      <w:pPr>
        <w:spacing w:line="600" w:lineRule="exact"/>
        <w:ind w:firstLine="1299" w:firstLineChars="539"/>
        <w:rPr>
          <w:b/>
          <w:sz w:val="24"/>
        </w:rPr>
      </w:pPr>
      <w:r>
        <w:rPr>
          <w:rFonts w:hint="eastAsia"/>
          <w:b/>
          <w:sz w:val="24"/>
        </w:rPr>
        <w:t xml:space="preserve">              合同签订时间：            年      月      日</w:t>
      </w:r>
    </w:p>
    <w:p/>
    <w:p/>
    <w:p>
      <w:pPr>
        <w:spacing w:line="500" w:lineRule="exact"/>
        <w:rPr>
          <w:rFonts w:ascii="华文仿宋" w:hAnsi="华文仿宋" w:eastAsia="华文仿宋" w:cs="华文仿宋"/>
          <w:sz w:val="30"/>
          <w:szCs w:val="30"/>
        </w:rPr>
      </w:pPr>
    </w:p>
    <w:sectPr>
      <w:pgSz w:w="11906" w:h="16838"/>
      <w:pgMar w:top="1440"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37FF"/>
    <w:multiLevelType w:val="singleLevel"/>
    <w:tmpl w:val="57EB37FF"/>
    <w:lvl w:ilvl="0" w:tentative="0">
      <w:start w:val="1"/>
      <w:numFmt w:val="chineseCounting"/>
      <w:suff w:val="nothing"/>
      <w:lvlText w:val="%1、"/>
      <w:lvlJc w:val="left"/>
    </w:lvl>
  </w:abstractNum>
  <w:abstractNum w:abstractNumId="1">
    <w:nsid w:val="57EB3C4D"/>
    <w:multiLevelType w:val="singleLevel"/>
    <w:tmpl w:val="57EB3C4D"/>
    <w:lvl w:ilvl="0" w:tentative="0">
      <w:start w:val="3"/>
      <w:numFmt w:val="decimal"/>
      <w:suff w:val="nothing"/>
      <w:lvlText w:val="%1、"/>
      <w:lvlJc w:val="left"/>
    </w:lvl>
  </w:abstractNum>
  <w:abstractNum w:abstractNumId="2">
    <w:nsid w:val="5965D9DA"/>
    <w:multiLevelType w:val="singleLevel"/>
    <w:tmpl w:val="5965D9DA"/>
    <w:lvl w:ilvl="0" w:tentative="0">
      <w:start w:val="1"/>
      <w:numFmt w:val="decimal"/>
      <w:suff w:val="nothing"/>
      <w:lvlText w:val="%1、"/>
      <w:lvlJc w:val="left"/>
    </w:lvl>
  </w:abstractNum>
  <w:abstractNum w:abstractNumId="3">
    <w:nsid w:val="66DD7E89"/>
    <w:multiLevelType w:val="multilevel"/>
    <w:tmpl w:val="66DD7E89"/>
    <w:lvl w:ilvl="0" w:tentative="0">
      <w:start w:val="1"/>
      <w:numFmt w:val="japaneseCounting"/>
      <w:lvlText w:val="%1、"/>
      <w:lvlJc w:val="left"/>
      <w:pPr>
        <w:ind w:left="720" w:hanging="720"/>
      </w:pPr>
      <w:rPr>
        <w:rFonts w:hint="default" w:ascii="华文仿宋" w:hAnsi="华文仿宋" w:eastAsia="华文仿宋" w:cs="华文仿宋"/>
        <w:color w:val="auto"/>
        <w:sz w:val="30"/>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3C"/>
    <w:rsid w:val="00004422"/>
    <w:rsid w:val="00025E8A"/>
    <w:rsid w:val="00025F9F"/>
    <w:rsid w:val="000606C0"/>
    <w:rsid w:val="00071846"/>
    <w:rsid w:val="00075FB8"/>
    <w:rsid w:val="000C33E7"/>
    <w:rsid w:val="000E339E"/>
    <w:rsid w:val="00114FA5"/>
    <w:rsid w:val="0014286C"/>
    <w:rsid w:val="001517D8"/>
    <w:rsid w:val="00184D10"/>
    <w:rsid w:val="00186DBB"/>
    <w:rsid w:val="001A7358"/>
    <w:rsid w:val="001C5DB4"/>
    <w:rsid w:val="001D3E22"/>
    <w:rsid w:val="00226BA6"/>
    <w:rsid w:val="002369FE"/>
    <w:rsid w:val="00254F73"/>
    <w:rsid w:val="00285EE2"/>
    <w:rsid w:val="00290C25"/>
    <w:rsid w:val="00290FD5"/>
    <w:rsid w:val="002D1436"/>
    <w:rsid w:val="00320CFC"/>
    <w:rsid w:val="00322E73"/>
    <w:rsid w:val="0032678E"/>
    <w:rsid w:val="003349A3"/>
    <w:rsid w:val="00364B1F"/>
    <w:rsid w:val="003B753C"/>
    <w:rsid w:val="003D52F4"/>
    <w:rsid w:val="003E22FA"/>
    <w:rsid w:val="003F7B2C"/>
    <w:rsid w:val="00407A66"/>
    <w:rsid w:val="00411F3A"/>
    <w:rsid w:val="00416DAF"/>
    <w:rsid w:val="00430727"/>
    <w:rsid w:val="00442801"/>
    <w:rsid w:val="00443A40"/>
    <w:rsid w:val="00470C60"/>
    <w:rsid w:val="004A28EE"/>
    <w:rsid w:val="004A2D37"/>
    <w:rsid w:val="004C6605"/>
    <w:rsid w:val="004E2502"/>
    <w:rsid w:val="004F152E"/>
    <w:rsid w:val="005213AE"/>
    <w:rsid w:val="005637AF"/>
    <w:rsid w:val="005647DC"/>
    <w:rsid w:val="005703D7"/>
    <w:rsid w:val="005A224C"/>
    <w:rsid w:val="005A456F"/>
    <w:rsid w:val="005F3A4B"/>
    <w:rsid w:val="00603095"/>
    <w:rsid w:val="0060676F"/>
    <w:rsid w:val="00640913"/>
    <w:rsid w:val="00653954"/>
    <w:rsid w:val="00657705"/>
    <w:rsid w:val="00660A19"/>
    <w:rsid w:val="006716EF"/>
    <w:rsid w:val="00676DCC"/>
    <w:rsid w:val="006838EB"/>
    <w:rsid w:val="00684206"/>
    <w:rsid w:val="006A6B54"/>
    <w:rsid w:val="00705A6D"/>
    <w:rsid w:val="00715257"/>
    <w:rsid w:val="00715B88"/>
    <w:rsid w:val="0072544E"/>
    <w:rsid w:val="007404FC"/>
    <w:rsid w:val="0074362B"/>
    <w:rsid w:val="007A3E0B"/>
    <w:rsid w:val="007A57B3"/>
    <w:rsid w:val="007D24C1"/>
    <w:rsid w:val="0081363F"/>
    <w:rsid w:val="00816CA9"/>
    <w:rsid w:val="00862589"/>
    <w:rsid w:val="008712B8"/>
    <w:rsid w:val="0087344D"/>
    <w:rsid w:val="00874DC3"/>
    <w:rsid w:val="0088364F"/>
    <w:rsid w:val="00892F3B"/>
    <w:rsid w:val="008A4A5A"/>
    <w:rsid w:val="008C2C1F"/>
    <w:rsid w:val="008F321E"/>
    <w:rsid w:val="009065FD"/>
    <w:rsid w:val="009918E5"/>
    <w:rsid w:val="009919E3"/>
    <w:rsid w:val="0099531E"/>
    <w:rsid w:val="009A3D5B"/>
    <w:rsid w:val="009E0E14"/>
    <w:rsid w:val="00A11C55"/>
    <w:rsid w:val="00A20C42"/>
    <w:rsid w:val="00A37C6B"/>
    <w:rsid w:val="00A714F7"/>
    <w:rsid w:val="00A7570A"/>
    <w:rsid w:val="00AA0D20"/>
    <w:rsid w:val="00AB6FEF"/>
    <w:rsid w:val="00AD33BF"/>
    <w:rsid w:val="00AF6A9F"/>
    <w:rsid w:val="00B2179D"/>
    <w:rsid w:val="00B27BD5"/>
    <w:rsid w:val="00B47954"/>
    <w:rsid w:val="00B539EE"/>
    <w:rsid w:val="00B67A08"/>
    <w:rsid w:val="00B9317A"/>
    <w:rsid w:val="00B9332A"/>
    <w:rsid w:val="00BD11E8"/>
    <w:rsid w:val="00BE4711"/>
    <w:rsid w:val="00BF62D5"/>
    <w:rsid w:val="00C02496"/>
    <w:rsid w:val="00C13179"/>
    <w:rsid w:val="00C52529"/>
    <w:rsid w:val="00C62DED"/>
    <w:rsid w:val="00C85EB0"/>
    <w:rsid w:val="00CB20A4"/>
    <w:rsid w:val="00CC467D"/>
    <w:rsid w:val="00D31E0E"/>
    <w:rsid w:val="00D52A55"/>
    <w:rsid w:val="00DA7FD7"/>
    <w:rsid w:val="00DC35BC"/>
    <w:rsid w:val="00E41387"/>
    <w:rsid w:val="00E95409"/>
    <w:rsid w:val="00EC4D8C"/>
    <w:rsid w:val="00F4388E"/>
    <w:rsid w:val="00F53A5D"/>
    <w:rsid w:val="00F66BF4"/>
    <w:rsid w:val="00FA3622"/>
    <w:rsid w:val="00FA7DCD"/>
    <w:rsid w:val="00FB4585"/>
    <w:rsid w:val="00FB5B5A"/>
    <w:rsid w:val="00FF65FA"/>
    <w:rsid w:val="085E5B1B"/>
    <w:rsid w:val="37216C96"/>
    <w:rsid w:val="4DB0226D"/>
    <w:rsid w:val="54105874"/>
    <w:rsid w:val="54EC5A63"/>
    <w:rsid w:val="5B396923"/>
    <w:rsid w:val="618E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before="340" w:after="330"/>
      <w:jc w:val="center"/>
      <w:outlineLvl w:val="0"/>
    </w:pPr>
    <w:rPr>
      <w:b/>
      <w:bCs/>
      <w:kern w:val="44"/>
      <w:sz w:val="28"/>
      <w:szCs w:val="44"/>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8"/>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页眉 Char"/>
    <w:basedOn w:val="7"/>
    <w:link w:val="6"/>
    <w:qFormat/>
    <w:uiPriority w:val="99"/>
    <w:rPr>
      <w:sz w:val="18"/>
      <w:szCs w:val="18"/>
    </w:rPr>
  </w:style>
  <w:style w:type="character" w:customStyle="1" w:styleId="12">
    <w:name w:val="页脚 Char"/>
    <w:basedOn w:val="7"/>
    <w:link w:val="5"/>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日期 Char"/>
    <w:basedOn w:val="7"/>
    <w:link w:val="3"/>
    <w:semiHidden/>
    <w:qFormat/>
    <w:uiPriority w:val="99"/>
  </w:style>
  <w:style w:type="paragraph" w:customStyle="1" w:styleId="15">
    <w:name w:val="正文1"/>
    <w:qFormat/>
    <w:uiPriority w:val="0"/>
    <w:rPr>
      <w:rFonts w:ascii="Times New Roman" w:hAnsi="Times New Roman" w:eastAsia="Times New Roman" w:cs="Times New Roman"/>
      <w:sz w:val="24"/>
      <w:szCs w:val="24"/>
      <w:lang w:val="en-US" w:eastAsia="zh-CN" w:bidi="ar-SA"/>
    </w:rPr>
  </w:style>
  <w:style w:type="character" w:customStyle="1" w:styleId="16">
    <w:name w:val="标题 1 Char"/>
    <w:basedOn w:val="7"/>
    <w:qFormat/>
    <w:uiPriority w:val="9"/>
    <w:rPr>
      <w:b/>
      <w:bCs/>
      <w:kern w:val="44"/>
      <w:sz w:val="44"/>
      <w:szCs w:val="44"/>
    </w:rPr>
  </w:style>
  <w:style w:type="character" w:customStyle="1" w:styleId="17">
    <w:name w:val="标题 1 Char1"/>
    <w:basedOn w:val="7"/>
    <w:link w:val="2"/>
    <w:qFormat/>
    <w:uiPriority w:val="0"/>
    <w:rPr>
      <w:b/>
      <w:bCs/>
      <w:kern w:val="44"/>
      <w:sz w:val="28"/>
      <w:szCs w:val="44"/>
    </w:rPr>
  </w:style>
  <w:style w:type="character" w:customStyle="1" w:styleId="18">
    <w:name w:val="批注框文本 Char"/>
    <w:basedOn w:val="7"/>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302</Words>
  <Characters>1728</Characters>
  <Lines>14</Lines>
  <Paragraphs>4</Paragraphs>
  <TotalTime>2</TotalTime>
  <ScaleCrop>false</ScaleCrop>
  <LinksUpToDate>false</LinksUpToDate>
  <CharactersWithSpaces>2026</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2018-07-05T07:16:00Z</dcterms:created>
  <dc:creator>kold</dc:creator>
  <cp:lastModifiedBy>小楼◇YL</cp:lastModifiedBy>
  <cp:lastPrinted>2018-04-13T01:41:00Z</cp:lastPrinted>
  <dcterms:modified xsi:type="dcterms:W3CDTF">2018-07-09T05:09:36Z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