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rPr>
      </w:pPr>
      <w:r>
        <w:rPr>
          <w:rFonts w:hint="eastAsia" w:ascii="仿宋" w:hAnsi="仿宋" w:eastAsia="仿宋" w:cs="仿宋"/>
          <w:b/>
          <w:bCs/>
          <w:sz w:val="52"/>
          <w:szCs w:val="52"/>
          <w:lang w:val="en-US" w:eastAsia="zh-CN"/>
        </w:rPr>
        <w:t>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pStyle w:val="2"/>
        <w:rPr>
          <w:rFonts w:hint="eastAsia" w:ascii="仿宋" w:hAnsi="仿宋" w:eastAsia="仿宋" w:cs="仿宋"/>
          <w:szCs w:val="21"/>
        </w:rPr>
      </w:pPr>
    </w:p>
    <w:p>
      <w:pPr>
        <w:rPr>
          <w:rFonts w:hint="eastAsia"/>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w:t>
      </w:r>
      <w:r>
        <w:rPr>
          <w:rFonts w:hint="eastAsia" w:ascii="仿宋" w:hAnsi="仿宋" w:eastAsia="仿宋" w:cs="仿宋"/>
          <w:b/>
          <w:bCs/>
          <w:szCs w:val="21"/>
          <w:u w:val="single"/>
          <w:lang w:val="en-US" w:eastAsia="zh-CN"/>
        </w:rPr>
        <w:t xml:space="preserve">                      </w:t>
      </w:r>
      <w:r>
        <w:rPr>
          <w:rFonts w:hint="eastAsia" w:ascii="仿宋" w:hAnsi="仿宋" w:eastAsia="仿宋" w:cs="仿宋"/>
          <w:b/>
          <w:bCs/>
          <w:szCs w:val="21"/>
          <w:u w:val="single"/>
        </w:rPr>
        <w:t xml:space="preserve">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 xml:space="preserve">                                          </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lang w:val="en-US" w:eastAsia="zh-CN"/>
        </w:rPr>
        <w:t xml:space="preserve">                                                   </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lang w:val="en-US" w:eastAsia="zh-CN"/>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r>
        <w:rPr>
          <w:rFonts w:hint="eastAsia" w:ascii="仿宋" w:hAnsi="仿宋" w:eastAsia="仿宋" w:cs="仿宋"/>
          <w:szCs w:val="21"/>
          <w:lang w:eastAsia="zh-CN"/>
        </w:rPr>
        <w:t>（具体开工日期以开工令为准）</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本合同一式陆份，其中发包方持肆份；承包方持贰份，双方约定双方法定代表人或其授权代理人签字或盖章并加盖单位公章后生效。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firstLine="630" w:firstLineChars="300"/>
        <w:rPr>
          <w:rFonts w:hint="eastAsia" w:ascii="仿宋" w:hAnsi="仿宋" w:eastAsia="仿宋" w:cs="仿宋"/>
          <w:b/>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b/>
          <w:szCs w:val="21"/>
        </w:rPr>
      </w:pPr>
    </w:p>
    <w:p>
      <w:pPr>
        <w:ind w:left="6300" w:leftChars="250" w:hanging="5775" w:hangingChars="2750"/>
        <w:rPr>
          <w:rFonts w:hint="eastAsia" w:ascii="仿宋" w:hAnsi="仿宋" w:eastAsia="仿宋" w:cs="仿宋"/>
          <w:szCs w:val="21"/>
          <w:lang w:eastAsia="zh-CN"/>
        </w:rPr>
      </w:pPr>
      <w:r>
        <w:rPr>
          <w:rFonts w:hint="eastAsia" w:ascii="仿宋" w:hAnsi="仿宋" w:eastAsia="仿宋" w:cs="仿宋"/>
          <w:szCs w:val="21"/>
        </w:rPr>
        <w:t xml:space="preserve">住    所：             </w:t>
      </w:r>
      <w:r>
        <w:rPr>
          <w:rFonts w:hint="eastAsia" w:ascii="仿宋" w:hAnsi="仿宋" w:eastAsia="仿宋" w:cs="仿宋"/>
          <w:szCs w:val="21"/>
          <w:lang w:val="en-US" w:eastAsia="zh-CN"/>
        </w:rPr>
        <w:t xml:space="preserve">                    </w:t>
      </w:r>
      <w:r>
        <w:rPr>
          <w:rFonts w:hint="eastAsia" w:ascii="仿宋" w:hAnsi="仿宋" w:eastAsia="仿宋" w:cs="仿宋"/>
          <w:szCs w:val="21"/>
        </w:rPr>
        <w:t>住    所：</w:t>
      </w:r>
    </w:p>
    <w:p>
      <w:pPr>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传   真：  </w:t>
      </w:r>
    </w:p>
    <w:p>
      <w:pPr>
        <w:pStyle w:val="4"/>
        <w:tabs>
          <w:tab w:val="center" w:pos="4819"/>
        </w:tabs>
        <w:spacing w:line="400" w:lineRule="exact"/>
        <w:ind w:firstLine="630" w:firstLineChars="300"/>
        <w:rPr>
          <w:rFonts w:hint="eastAsia" w:ascii="仿宋" w:hAnsi="仿宋" w:eastAsia="仿宋" w:cs="仿宋"/>
          <w:szCs w:val="21"/>
        </w:rPr>
      </w:pPr>
      <w:r>
        <w:rPr>
          <w:rFonts w:hint="eastAsia" w:ascii="仿宋" w:hAnsi="仿宋" w:eastAsia="仿宋" w:cs="仿宋"/>
          <w:szCs w:val="21"/>
        </w:rPr>
        <w:t>开户银行：</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开户银行：</w:t>
      </w:r>
    </w:p>
    <w:p>
      <w:pPr>
        <w:pStyle w:val="4"/>
        <w:tabs>
          <w:tab w:val="center" w:pos="4819"/>
        </w:tabs>
        <w:spacing w:line="400" w:lineRule="exact"/>
        <w:ind w:firstLine="6203" w:firstLineChars="2954"/>
        <w:rPr>
          <w:rFonts w:hint="eastAsia" w:ascii="仿宋" w:hAnsi="仿宋" w:eastAsia="仿宋" w:cs="仿宋"/>
          <w:szCs w:val="21"/>
        </w:rPr>
      </w:pP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 xml:space="preserve">邮政编码： </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none"/>
        </w:rPr>
      </w:pPr>
      <w:r>
        <w:rPr>
          <w:rFonts w:hint="eastAsia" w:ascii="仿宋" w:hAnsi="仿宋" w:eastAsia="仿宋" w:cs="仿宋"/>
          <w:szCs w:val="21"/>
          <w:u w:val="none"/>
          <w:lang w:val="en-US" w:eastAsia="zh-CN"/>
        </w:rPr>
        <w:t xml:space="preserve">4.2 </w:t>
      </w:r>
      <w:r>
        <w:rPr>
          <w:rFonts w:hint="eastAsia" w:ascii="仿宋" w:hAnsi="仿宋" w:eastAsia="仿宋" w:cs="仿宋"/>
          <w:b/>
          <w:bCs/>
          <w:szCs w:val="21"/>
          <w:u w:val="none"/>
        </w:rPr>
        <w:t>项目经理须代表承包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负责与学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bCs/>
          <w:szCs w:val="21"/>
          <w:u w:val="none"/>
          <w:lang w:val="en-US" w:eastAsia="zh-CN"/>
        </w:rPr>
        <w:t>进度款或结算款中</w:t>
      </w:r>
      <w:r>
        <w:rPr>
          <w:rFonts w:hint="eastAsia" w:ascii="仿宋" w:hAnsi="仿宋" w:eastAsia="仿宋" w:cs="仿宋"/>
          <w:b/>
          <w:bCs/>
          <w:szCs w:val="21"/>
          <w:u w:val="none"/>
        </w:rPr>
        <w:t>扣除每次伍仟圆；第三次，学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有权终止施工合同；如果承包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拒不整改，或在限定期限内未完成整改的，学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20"/>
        <w:spacing w:line="360" w:lineRule="exact"/>
        <w:ind w:left="670" w:leftChars="119" w:right="1080" w:hanging="420" w:hangingChars="200"/>
        <w:rPr>
          <w:rFonts w:hint="eastAsia" w:ascii="仿宋" w:hAnsi="仿宋" w:eastAsia="仿宋" w:cs="仿宋"/>
          <w:bCs/>
          <w:kern w:val="2"/>
          <w:sz w:val="21"/>
          <w:szCs w:val="21"/>
          <w:u w:val="single"/>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20"/>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20"/>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20"/>
        <w:spacing w:line="360" w:lineRule="exact"/>
        <w:ind w:left="249" w:right="720" w:firstLine="420"/>
        <w:rPr>
          <w:rFonts w:hint="eastAsia" w:ascii="仿宋" w:hAnsi="仿宋" w:eastAsia="仿宋" w:cs="仿宋"/>
          <w:bCs/>
          <w:kern w:val="2"/>
          <w:sz w:val="21"/>
          <w:szCs w:val="21"/>
        </w:rPr>
      </w:pPr>
    </w:p>
    <w:p>
      <w:pPr>
        <w:pStyle w:val="20"/>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20"/>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20"/>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20"/>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20"/>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20"/>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20"/>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43044949"/>
      <w:bookmarkStart w:id="16" w:name="_Toc118023785"/>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118023787"/>
      <w:bookmarkStart w:id="20" w:name="_Toc43044951"/>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20"/>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20"/>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20"/>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20"/>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20"/>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20"/>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rPr>
        <w:t>16.3</w:t>
      </w:r>
      <w:r>
        <w:rPr>
          <w:rFonts w:hint="eastAsia" w:ascii="仿宋" w:hAnsi="仿宋" w:eastAsia="仿宋" w:cs="仿宋"/>
          <w:b/>
          <w:bCs w:val="0"/>
          <w:kern w:val="2"/>
          <w:sz w:val="21"/>
          <w:szCs w:val="21"/>
        </w:rPr>
        <w:t>竣工验收后，承包</w:t>
      </w:r>
      <w:r>
        <w:rPr>
          <w:rFonts w:hint="eastAsia" w:ascii="仿宋" w:hAnsi="仿宋" w:eastAsia="仿宋" w:cs="仿宋"/>
          <w:b/>
          <w:bCs w:val="0"/>
          <w:kern w:val="2"/>
          <w:sz w:val="21"/>
          <w:szCs w:val="21"/>
          <w:lang w:eastAsia="zh-CN"/>
        </w:rPr>
        <w:t>人</w:t>
      </w:r>
      <w:r>
        <w:rPr>
          <w:rFonts w:hint="eastAsia" w:ascii="仿宋" w:hAnsi="仿宋" w:eastAsia="仿宋" w:cs="仿宋"/>
          <w:b/>
          <w:bCs w:val="0"/>
          <w:kern w:val="2"/>
          <w:sz w:val="21"/>
          <w:szCs w:val="21"/>
        </w:rPr>
        <w:t>须在21日内按照学</w:t>
      </w:r>
      <w:r>
        <w:rPr>
          <w:rFonts w:hint="eastAsia" w:ascii="仿宋" w:hAnsi="仿宋" w:eastAsia="仿宋" w:cs="仿宋"/>
          <w:b/>
          <w:bCs w:val="0"/>
          <w:kern w:val="2"/>
          <w:sz w:val="21"/>
          <w:szCs w:val="21"/>
          <w:lang w:eastAsia="zh-CN"/>
        </w:rPr>
        <w:t>院</w:t>
      </w:r>
      <w:r>
        <w:rPr>
          <w:rFonts w:hint="eastAsia" w:ascii="仿宋" w:hAnsi="仿宋" w:eastAsia="仿宋" w:cs="仿宋"/>
          <w:b/>
          <w:bCs w:val="0"/>
          <w:kern w:val="2"/>
          <w:sz w:val="21"/>
          <w:szCs w:val="21"/>
        </w:rPr>
        <w:t>的竣工结算资料目录，提交相关结算资料；如果超期提交资料达30日，从</w:t>
      </w:r>
      <w:r>
        <w:rPr>
          <w:rFonts w:hint="eastAsia" w:ascii="仿宋" w:hAnsi="仿宋" w:eastAsia="仿宋" w:cs="仿宋"/>
          <w:b/>
          <w:bCs w:val="0"/>
          <w:kern w:val="2"/>
          <w:sz w:val="21"/>
          <w:szCs w:val="21"/>
          <w:lang w:val="en-US" w:eastAsia="zh-CN"/>
        </w:rPr>
        <w:t>结算款中</w:t>
      </w:r>
      <w:r>
        <w:rPr>
          <w:rFonts w:hint="eastAsia" w:ascii="仿宋" w:hAnsi="仿宋" w:eastAsia="仿宋" w:cs="仿宋"/>
          <w:b/>
          <w:bCs w:val="0"/>
          <w:kern w:val="2"/>
          <w:sz w:val="21"/>
          <w:szCs w:val="21"/>
        </w:rPr>
        <w:t>扣除贰仟圆</w:t>
      </w:r>
      <w:r>
        <w:rPr>
          <w:rFonts w:hint="eastAsia" w:ascii="仿宋" w:hAnsi="仿宋" w:eastAsia="仿宋" w:cs="仿宋"/>
          <w:b/>
          <w:bCs w:val="0"/>
          <w:kern w:val="2"/>
          <w:sz w:val="21"/>
          <w:szCs w:val="21"/>
          <w:lang w:eastAsia="zh-CN"/>
        </w:rPr>
        <w:t>。</w:t>
      </w:r>
    </w:p>
    <w:p>
      <w:pPr>
        <w:pStyle w:val="20"/>
        <w:spacing w:line="400" w:lineRule="exact"/>
        <w:ind w:left="249" w:right="720" w:firstLine="420"/>
        <w:rPr>
          <w:rFonts w:hint="eastAsia" w:ascii="仿宋" w:hAnsi="仿宋" w:eastAsia="仿宋" w:cs="仿宋"/>
          <w:bCs/>
          <w:kern w:val="2"/>
          <w:sz w:val="21"/>
          <w:szCs w:val="21"/>
        </w:rPr>
      </w:pPr>
    </w:p>
    <w:p>
      <w:pPr>
        <w:pStyle w:val="20"/>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20"/>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20"/>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20"/>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20"/>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w:t>
      </w:r>
      <w:r>
        <w:rPr>
          <w:rFonts w:hint="eastAsia" w:ascii="仿宋" w:hAnsi="仿宋" w:eastAsia="仿宋" w:cs="仿宋"/>
          <w:color w:val="000000"/>
          <w:szCs w:val="21"/>
          <w:u w:val="single"/>
          <w:lang w:eastAsia="zh-CN"/>
        </w:rPr>
        <w:t>陆</w:t>
      </w:r>
      <w:r>
        <w:rPr>
          <w:rFonts w:hint="eastAsia" w:ascii="仿宋" w:hAnsi="仿宋" w:eastAsia="仿宋" w:cs="仿宋"/>
          <w:color w:val="000000"/>
          <w:szCs w:val="21"/>
          <w:u w:val="single"/>
        </w:rPr>
        <w:t>份，其中发包方持肆份；承包方持贰份。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8452840"/>
      <w:bookmarkStart w:id="52" w:name="_Toc69654573"/>
      <w:bookmarkStart w:id="53" w:name="_Toc68547804"/>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9"/>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2"/>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2"/>
                <w:rFonts w:hint="eastAsia" w:ascii="仿宋" w:hAnsi="仿宋" w:eastAsia="仿宋" w:cs="仿宋"/>
                <w:i w:val="0"/>
                <w:caps w:val="0"/>
                <w:color w:val="auto"/>
                <w:spacing w:val="0"/>
                <w:sz w:val="24"/>
                <w:szCs w:val="24"/>
                <w:u w:val="none"/>
              </w:rPr>
              <w:t>（注：</w:t>
            </w:r>
            <w:r>
              <w:rPr>
                <w:rStyle w:val="12"/>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2"/>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2"/>
                <w:rFonts w:hint="eastAsia" w:ascii="仿宋" w:hAnsi="仿宋" w:eastAsia="仿宋" w:cs="仿宋"/>
                <w:i w:val="0"/>
                <w:caps w:val="0"/>
                <w:color w:val="000000"/>
                <w:spacing w:val="0"/>
                <w:sz w:val="24"/>
                <w:szCs w:val="24"/>
                <w:u w:val="none"/>
              </w:rPr>
              <w:t>（注：按期竣工为良好；超</w:t>
            </w:r>
            <w:r>
              <w:rPr>
                <w:rStyle w:val="12"/>
                <w:rFonts w:hint="eastAsia" w:ascii="仿宋" w:hAnsi="仿宋" w:eastAsia="仿宋" w:cs="仿宋"/>
                <w:i w:val="0"/>
                <w:caps w:val="0"/>
                <w:color w:val="000000"/>
                <w:spacing w:val="0"/>
                <w:sz w:val="24"/>
                <w:szCs w:val="24"/>
                <w:u w:val="none"/>
                <w:lang w:eastAsia="zh-CN"/>
              </w:rPr>
              <w:t>合同</w:t>
            </w:r>
            <w:r>
              <w:rPr>
                <w:rStyle w:val="12"/>
                <w:rFonts w:hint="eastAsia" w:ascii="仿宋" w:hAnsi="仿宋" w:eastAsia="仿宋" w:cs="仿宋"/>
                <w:i w:val="0"/>
                <w:caps w:val="0"/>
                <w:color w:val="000000"/>
                <w:spacing w:val="0"/>
                <w:sz w:val="24"/>
                <w:szCs w:val="24"/>
                <w:u w:val="none"/>
              </w:rPr>
              <w:t>工期</w:t>
            </w:r>
            <w:r>
              <w:rPr>
                <w:rStyle w:val="12"/>
                <w:rFonts w:hint="eastAsia" w:ascii="仿宋" w:hAnsi="仿宋" w:eastAsia="仿宋" w:cs="仿宋"/>
                <w:i w:val="0"/>
                <w:caps w:val="0"/>
                <w:color w:val="000000"/>
                <w:spacing w:val="0"/>
                <w:sz w:val="24"/>
                <w:szCs w:val="24"/>
                <w:u w:val="none"/>
                <w:lang w:val="en-US" w:eastAsia="zh-CN"/>
              </w:rPr>
              <w:t>15%</w:t>
            </w:r>
            <w:r>
              <w:rPr>
                <w:rStyle w:val="12"/>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2"/>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2"/>
                <w:rFonts w:hint="eastAsia" w:ascii="仿宋" w:hAnsi="仿宋" w:eastAsia="仿宋" w:cs="仿宋"/>
                <w:i w:val="0"/>
                <w:caps w:val="0"/>
                <w:color w:val="000000"/>
                <w:spacing w:val="0"/>
                <w:sz w:val="24"/>
                <w:szCs w:val="24"/>
                <w:u w:val="none"/>
              </w:rPr>
              <w:t>（注：</w:t>
            </w:r>
            <w:r>
              <w:rPr>
                <w:rStyle w:val="12"/>
                <w:rFonts w:hint="eastAsia" w:ascii="仿宋" w:hAnsi="仿宋" w:eastAsia="仿宋" w:cs="仿宋"/>
                <w:i w:val="0"/>
                <w:caps w:val="0"/>
                <w:color w:val="000000"/>
                <w:spacing w:val="0"/>
                <w:sz w:val="24"/>
                <w:szCs w:val="24"/>
                <w:u w:val="none"/>
                <w:lang w:val="en-US" w:eastAsia="zh-CN"/>
              </w:rPr>
              <w:t>1、</w:t>
            </w:r>
            <w:r>
              <w:rPr>
                <w:rStyle w:val="12"/>
                <w:rFonts w:hint="eastAsia" w:ascii="仿宋" w:hAnsi="仿宋" w:eastAsia="仿宋" w:cs="仿宋"/>
                <w:i w:val="0"/>
                <w:caps w:val="0"/>
                <w:color w:val="000000"/>
                <w:spacing w:val="0"/>
                <w:sz w:val="24"/>
                <w:szCs w:val="24"/>
                <w:u w:val="none"/>
              </w:rPr>
              <w:t>结算资料提交期限超过</w:t>
            </w:r>
            <w:r>
              <w:rPr>
                <w:rStyle w:val="12"/>
                <w:rFonts w:hint="eastAsia" w:ascii="仿宋" w:hAnsi="仿宋" w:eastAsia="仿宋" w:cs="仿宋"/>
                <w:i w:val="0"/>
                <w:caps w:val="0"/>
                <w:color w:val="000000"/>
                <w:spacing w:val="0"/>
                <w:sz w:val="24"/>
                <w:szCs w:val="24"/>
                <w:u w:val="none"/>
                <w:lang w:val="en-US"/>
              </w:rPr>
              <w:t>30</w:t>
            </w:r>
            <w:r>
              <w:rPr>
                <w:rStyle w:val="12"/>
                <w:rFonts w:hint="eastAsia" w:ascii="仿宋" w:hAnsi="仿宋" w:eastAsia="仿宋" w:cs="仿宋"/>
                <w:i w:val="0"/>
                <w:caps w:val="0"/>
                <w:color w:val="000000"/>
                <w:spacing w:val="0"/>
                <w:sz w:val="24"/>
                <w:szCs w:val="24"/>
                <w:u w:val="none"/>
                <w:lang w:eastAsia="zh-CN"/>
              </w:rPr>
              <w:t>日</w:t>
            </w:r>
            <w:r>
              <w:rPr>
                <w:rStyle w:val="12"/>
                <w:rFonts w:hint="eastAsia" w:ascii="仿宋" w:hAnsi="仿宋" w:eastAsia="仿宋" w:cs="仿宋"/>
                <w:i w:val="0"/>
                <w:caps w:val="0"/>
                <w:color w:val="000000"/>
                <w:spacing w:val="0"/>
                <w:sz w:val="24"/>
                <w:szCs w:val="24"/>
                <w:u w:val="none"/>
              </w:rPr>
              <w:t>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结算资料弄虚作假或真实性</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准确性较差的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不按</w:t>
            </w:r>
            <w:r>
              <w:rPr>
                <w:rStyle w:val="12"/>
                <w:rFonts w:hint="eastAsia" w:ascii="仿宋" w:hAnsi="仿宋" w:eastAsia="仿宋" w:cs="仿宋"/>
                <w:i w:val="0"/>
                <w:caps w:val="0"/>
                <w:color w:val="000000"/>
                <w:spacing w:val="0"/>
                <w:sz w:val="24"/>
                <w:szCs w:val="24"/>
                <w:u w:val="none"/>
                <w:lang w:val="en-US" w:eastAsia="zh-CN"/>
              </w:rPr>
              <w:t>校方</w:t>
            </w:r>
            <w:r>
              <w:rPr>
                <w:rStyle w:val="12"/>
                <w:rFonts w:hint="eastAsia" w:ascii="仿宋" w:hAnsi="仿宋" w:eastAsia="仿宋" w:cs="仿宋"/>
                <w:i w:val="0"/>
                <w:caps w:val="0"/>
                <w:color w:val="000000"/>
                <w:spacing w:val="0"/>
                <w:sz w:val="24"/>
                <w:szCs w:val="24"/>
                <w:u w:val="none"/>
              </w:rPr>
              <w:t>要求配合结算审核且情节严重的</w:t>
            </w:r>
            <w:r>
              <w:rPr>
                <w:rStyle w:val="12"/>
                <w:rFonts w:hint="eastAsia" w:ascii="仿宋" w:hAnsi="仿宋" w:eastAsia="仿宋" w:cs="仿宋"/>
                <w:i w:val="0"/>
                <w:caps w:val="0"/>
                <w:color w:val="000000"/>
                <w:spacing w:val="0"/>
                <w:sz w:val="24"/>
                <w:szCs w:val="24"/>
                <w:u w:val="none"/>
                <w:lang w:eastAsia="zh-CN"/>
              </w:rPr>
              <w:t>情况，均视</w:t>
            </w:r>
            <w:r>
              <w:rPr>
                <w:rStyle w:val="12"/>
                <w:rFonts w:hint="eastAsia" w:ascii="仿宋" w:hAnsi="仿宋" w:eastAsia="仿宋" w:cs="仿宋"/>
                <w:i w:val="0"/>
                <w:caps w:val="0"/>
                <w:color w:val="000000"/>
                <w:spacing w:val="0"/>
                <w:sz w:val="24"/>
                <w:szCs w:val="24"/>
                <w:u w:val="none"/>
              </w:rPr>
              <w:t>为较差</w:t>
            </w:r>
            <w:r>
              <w:rPr>
                <w:rStyle w:val="12"/>
                <w:rFonts w:hint="eastAsia" w:ascii="仿宋" w:hAnsi="仿宋" w:eastAsia="仿宋" w:cs="仿宋"/>
                <w:b/>
                <w:bCs w:val="0"/>
                <w:i w:val="0"/>
                <w:caps w:val="0"/>
                <w:color w:val="000000"/>
                <w:spacing w:val="0"/>
                <w:sz w:val="24"/>
                <w:szCs w:val="24"/>
                <w:u w:val="none"/>
                <w:lang w:eastAsia="zh-CN"/>
              </w:rPr>
              <w:t>。</w:t>
            </w:r>
            <w:r>
              <w:rPr>
                <w:rStyle w:val="12"/>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lang w:val="en-US" w:eastAsia="zh-CN"/>
        </w:rPr>
        <w:t xml:space="preserve">                                        </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lang w:val="en-US" w:eastAsia="zh-CN"/>
        </w:rPr>
      </w:pPr>
      <w:r>
        <w:rPr>
          <w:rFonts w:hint="eastAsia" w:ascii="仿宋" w:hAnsi="仿宋" w:eastAsia="仿宋" w:cs="仿宋"/>
        </w:rPr>
        <w:t>发包人(公章)：</w:t>
      </w:r>
      <w:r>
        <w:rPr>
          <w:rFonts w:hint="eastAsia" w:ascii="仿宋" w:hAnsi="仿宋" w:eastAsia="仿宋" w:cs="仿宋"/>
          <w:lang w:val="en-US" w:eastAsia="zh-CN"/>
        </w:rPr>
        <w:t xml:space="preserve">                      </w:t>
      </w:r>
      <w:r>
        <w:rPr>
          <w:rFonts w:hint="eastAsia" w:ascii="仿宋" w:hAnsi="仿宋" w:eastAsia="仿宋" w:cs="仿宋"/>
        </w:rPr>
        <w:t xml:space="preserve">           承包人(公章)：</w:t>
      </w:r>
      <w:r>
        <w:rPr>
          <w:rFonts w:hint="eastAsia" w:ascii="仿宋" w:hAnsi="仿宋" w:eastAsia="仿宋" w:cs="仿宋"/>
          <w:lang w:val="en-US" w:eastAsia="zh-CN"/>
        </w:rPr>
        <w:t xml:space="preserve">  </w:t>
      </w:r>
    </w:p>
    <w:p>
      <w:pPr>
        <w:pStyle w:val="4"/>
        <w:tabs>
          <w:tab w:val="left" w:pos="4500"/>
        </w:tabs>
        <w:spacing w:line="360" w:lineRule="auto"/>
        <w:rPr>
          <w:rFonts w:hint="eastAsia" w:ascii="仿宋" w:hAnsi="仿宋" w:eastAsia="仿宋" w:cs="仿宋"/>
        </w:rPr>
      </w:pPr>
      <w:bookmarkStart w:id="54" w:name="_GoBack"/>
      <w:bookmarkEnd w:id="54"/>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NDk0MWEzNGVjYzU0Zjg1ZGRjMjNmZjNjMDY3ZjkifQ=="/>
  </w:docVars>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3F69"/>
    <w:rsid w:val="00B349B6"/>
    <w:rsid w:val="00C670CD"/>
    <w:rsid w:val="00C87CC6"/>
    <w:rsid w:val="00D22F5E"/>
    <w:rsid w:val="00D567C6"/>
    <w:rsid w:val="00D9799B"/>
    <w:rsid w:val="00ED2A91"/>
    <w:rsid w:val="00F2138B"/>
    <w:rsid w:val="00F63062"/>
    <w:rsid w:val="00FB1F65"/>
    <w:rsid w:val="018D1CAF"/>
    <w:rsid w:val="01A46182"/>
    <w:rsid w:val="02CE7AC7"/>
    <w:rsid w:val="0318338E"/>
    <w:rsid w:val="04BA0C29"/>
    <w:rsid w:val="05F75B49"/>
    <w:rsid w:val="066F55DC"/>
    <w:rsid w:val="068456BC"/>
    <w:rsid w:val="06A90376"/>
    <w:rsid w:val="078F02CD"/>
    <w:rsid w:val="07E145DB"/>
    <w:rsid w:val="0903232E"/>
    <w:rsid w:val="09114EC1"/>
    <w:rsid w:val="093C56FD"/>
    <w:rsid w:val="0B90770E"/>
    <w:rsid w:val="0DB03D27"/>
    <w:rsid w:val="0FC97422"/>
    <w:rsid w:val="103C4234"/>
    <w:rsid w:val="10400847"/>
    <w:rsid w:val="107B3E86"/>
    <w:rsid w:val="109C44FF"/>
    <w:rsid w:val="11654150"/>
    <w:rsid w:val="117F4ECD"/>
    <w:rsid w:val="11804ED6"/>
    <w:rsid w:val="12D65F76"/>
    <w:rsid w:val="13023513"/>
    <w:rsid w:val="130918B9"/>
    <w:rsid w:val="13285229"/>
    <w:rsid w:val="13520C33"/>
    <w:rsid w:val="151A7EA6"/>
    <w:rsid w:val="154262DA"/>
    <w:rsid w:val="15A66103"/>
    <w:rsid w:val="162B77C5"/>
    <w:rsid w:val="18E04858"/>
    <w:rsid w:val="194F48BE"/>
    <w:rsid w:val="194F6040"/>
    <w:rsid w:val="1AC62289"/>
    <w:rsid w:val="1B1E1BC7"/>
    <w:rsid w:val="1C243FCE"/>
    <w:rsid w:val="1DDC7821"/>
    <w:rsid w:val="1E3648A3"/>
    <w:rsid w:val="1F347915"/>
    <w:rsid w:val="217413A5"/>
    <w:rsid w:val="21B965FF"/>
    <w:rsid w:val="21F2098B"/>
    <w:rsid w:val="22AB5E7D"/>
    <w:rsid w:val="23582C90"/>
    <w:rsid w:val="25111CDB"/>
    <w:rsid w:val="253977F8"/>
    <w:rsid w:val="25852722"/>
    <w:rsid w:val="25A54ED6"/>
    <w:rsid w:val="25BC7422"/>
    <w:rsid w:val="265B5BA4"/>
    <w:rsid w:val="26615427"/>
    <w:rsid w:val="26B017A7"/>
    <w:rsid w:val="283945A5"/>
    <w:rsid w:val="28BA7F95"/>
    <w:rsid w:val="29896EDA"/>
    <w:rsid w:val="301C6042"/>
    <w:rsid w:val="309968E2"/>
    <w:rsid w:val="30CA29EB"/>
    <w:rsid w:val="30D632E5"/>
    <w:rsid w:val="31B56300"/>
    <w:rsid w:val="33030E06"/>
    <w:rsid w:val="344A0733"/>
    <w:rsid w:val="352E5E04"/>
    <w:rsid w:val="35B902E1"/>
    <w:rsid w:val="37E73F3A"/>
    <w:rsid w:val="388904FC"/>
    <w:rsid w:val="3A0D253B"/>
    <w:rsid w:val="3A2145B2"/>
    <w:rsid w:val="3AD41A41"/>
    <w:rsid w:val="3DF72ECC"/>
    <w:rsid w:val="40AB3916"/>
    <w:rsid w:val="40C36799"/>
    <w:rsid w:val="413411D0"/>
    <w:rsid w:val="438757FD"/>
    <w:rsid w:val="43CB75BB"/>
    <w:rsid w:val="44185376"/>
    <w:rsid w:val="442D477C"/>
    <w:rsid w:val="451D6929"/>
    <w:rsid w:val="46F95DF8"/>
    <w:rsid w:val="47785FBC"/>
    <w:rsid w:val="49E601FC"/>
    <w:rsid w:val="4AEA4236"/>
    <w:rsid w:val="4B693FAF"/>
    <w:rsid w:val="4C04047F"/>
    <w:rsid w:val="4DA2241E"/>
    <w:rsid w:val="4DB63875"/>
    <w:rsid w:val="4F2A69C2"/>
    <w:rsid w:val="4F343936"/>
    <w:rsid w:val="4F377DE3"/>
    <w:rsid w:val="4F3C50BC"/>
    <w:rsid w:val="4F834FA3"/>
    <w:rsid w:val="50302767"/>
    <w:rsid w:val="504E52BE"/>
    <w:rsid w:val="50897987"/>
    <w:rsid w:val="50A24CA4"/>
    <w:rsid w:val="522B53DE"/>
    <w:rsid w:val="52984EA9"/>
    <w:rsid w:val="54316F66"/>
    <w:rsid w:val="5505701E"/>
    <w:rsid w:val="55391C40"/>
    <w:rsid w:val="563702BF"/>
    <w:rsid w:val="56A05A95"/>
    <w:rsid w:val="57365D0A"/>
    <w:rsid w:val="58174A69"/>
    <w:rsid w:val="58A82C3A"/>
    <w:rsid w:val="5A9575BD"/>
    <w:rsid w:val="5B873AAE"/>
    <w:rsid w:val="5CE80E1B"/>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5F90E5B"/>
    <w:rsid w:val="67684F21"/>
    <w:rsid w:val="679413D5"/>
    <w:rsid w:val="685333FF"/>
    <w:rsid w:val="68AF2917"/>
    <w:rsid w:val="69A461B0"/>
    <w:rsid w:val="6A082FA0"/>
    <w:rsid w:val="6AA809CB"/>
    <w:rsid w:val="6B40147D"/>
    <w:rsid w:val="6B9171F2"/>
    <w:rsid w:val="6F2B428D"/>
    <w:rsid w:val="709106B1"/>
    <w:rsid w:val="710D29E1"/>
    <w:rsid w:val="724C24C9"/>
    <w:rsid w:val="73CE4D2A"/>
    <w:rsid w:val="75976C02"/>
    <w:rsid w:val="76211E77"/>
    <w:rsid w:val="79863283"/>
    <w:rsid w:val="7BA45A12"/>
    <w:rsid w:val="7DE130F6"/>
    <w:rsid w:val="7DFE688F"/>
    <w:rsid w:val="7E5938D9"/>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0"/>
    <w:rPr>
      <w:rFonts w:ascii="金山简黑体" w:eastAsia="金山简黑体"/>
      <w:b/>
      <w:spacing w:val="-8"/>
      <w:sz w:val="44"/>
    </w:rPr>
  </w:style>
  <w:style w:type="paragraph" w:styleId="3">
    <w:name w:val="Body Text Indent"/>
    <w:basedOn w:val="1"/>
    <w:link w:val="24"/>
    <w:qFormat/>
    <w:uiPriority w:val="0"/>
    <w:pPr>
      <w:spacing w:line="200" w:lineRule="exact"/>
      <w:ind w:firstLine="301"/>
    </w:pPr>
    <w:rPr>
      <w:spacing w:val="-4"/>
      <w:sz w:val="18"/>
    </w:rPr>
  </w:style>
  <w:style w:type="paragraph" w:styleId="4">
    <w:name w:val="Plain Text"/>
    <w:basedOn w:val="1"/>
    <w:link w:val="22"/>
    <w:qFormat/>
    <w:uiPriority w:val="0"/>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uiPriority w:val="0"/>
    <w:rPr>
      <w:color w:val="800080"/>
      <w:u w:val="none"/>
    </w:rPr>
  </w:style>
  <w:style w:type="character" w:styleId="15">
    <w:name w:val="HTML Definition"/>
    <w:basedOn w:val="11"/>
    <w:uiPriority w:val="0"/>
    <w:rPr>
      <w:i/>
      <w:iCs/>
    </w:rPr>
  </w:style>
  <w:style w:type="character" w:styleId="16">
    <w:name w:val="Hyperlink"/>
    <w:basedOn w:val="11"/>
    <w:uiPriority w:val="0"/>
    <w:rPr>
      <w:color w:val="0000FF"/>
      <w:u w:val="none"/>
    </w:rPr>
  </w:style>
  <w:style w:type="character" w:styleId="17">
    <w:name w:val="HTML Code"/>
    <w:basedOn w:val="11"/>
    <w:uiPriority w:val="0"/>
    <w:rPr>
      <w:rFonts w:ascii="serif" w:hAnsi="serif" w:eastAsia="serif" w:cs="serif"/>
      <w:sz w:val="21"/>
      <w:szCs w:val="21"/>
    </w:rPr>
  </w:style>
  <w:style w:type="character" w:styleId="18">
    <w:name w:val="HTML Keyboard"/>
    <w:basedOn w:val="11"/>
    <w:uiPriority w:val="0"/>
    <w:rPr>
      <w:rFonts w:hint="default" w:ascii="serif" w:hAnsi="serif" w:eastAsia="serif" w:cs="serif"/>
      <w:sz w:val="21"/>
      <w:szCs w:val="21"/>
    </w:rPr>
  </w:style>
  <w:style w:type="character" w:styleId="19">
    <w:name w:val="HTML Sample"/>
    <w:basedOn w:val="11"/>
    <w:uiPriority w:val="0"/>
    <w:rPr>
      <w:rFonts w:hint="default" w:ascii="serif" w:hAnsi="serif" w:eastAsia="serif" w:cs="serif"/>
      <w:sz w:val="21"/>
      <w:szCs w:val="21"/>
    </w:rPr>
  </w:style>
  <w:style w:type="paragraph" w:customStyle="1" w:styleId="2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21">
    <w:name w:val="批注框文本 Char"/>
    <w:basedOn w:val="11"/>
    <w:link w:val="5"/>
    <w:qFormat/>
    <w:uiPriority w:val="0"/>
    <w:rPr>
      <w:rFonts w:ascii="宋体" w:hAnsi="Courier New"/>
      <w:kern w:val="2"/>
      <w:sz w:val="18"/>
      <w:szCs w:val="18"/>
    </w:rPr>
  </w:style>
  <w:style w:type="character" w:customStyle="1" w:styleId="22">
    <w:name w:val="纯文本 Char"/>
    <w:basedOn w:val="11"/>
    <w:link w:val="4"/>
    <w:qFormat/>
    <w:uiPriority w:val="0"/>
    <w:rPr>
      <w:rFonts w:ascii="宋体" w:hAnsi="Courier New" w:eastAsiaTheme="minorEastAsia" w:cstheme="minorBidi"/>
      <w:kern w:val="2"/>
      <w:sz w:val="21"/>
      <w:szCs w:val="22"/>
    </w:rPr>
  </w:style>
  <w:style w:type="character" w:customStyle="1" w:styleId="23">
    <w:name w:val="正文文本 Char"/>
    <w:basedOn w:val="11"/>
    <w:link w:val="2"/>
    <w:qFormat/>
    <w:uiPriority w:val="0"/>
    <w:rPr>
      <w:rFonts w:ascii="金山简黑体" w:hAnsi="Courier New" w:eastAsia="金山简黑体" w:cstheme="minorBidi"/>
      <w:b/>
      <w:spacing w:val="-8"/>
      <w:kern w:val="2"/>
      <w:sz w:val="44"/>
      <w:szCs w:val="22"/>
    </w:rPr>
  </w:style>
  <w:style w:type="character" w:customStyle="1" w:styleId="24">
    <w:name w:val="正文文本缩进 Char"/>
    <w:basedOn w:val="11"/>
    <w:link w:val="3"/>
    <w:qFormat/>
    <w:uiPriority w:val="0"/>
    <w:rPr>
      <w:rFonts w:ascii="宋体" w:hAnsi="Courier New" w:eastAsiaTheme="minorEastAsia" w:cstheme="minorBidi"/>
      <w:spacing w:val="-4"/>
      <w:kern w:val="2"/>
      <w:sz w:val="18"/>
      <w:szCs w:val="22"/>
    </w:rPr>
  </w:style>
  <w:style w:type="character" w:customStyle="1" w:styleId="25">
    <w:name w:val="nth-child(1)"/>
    <w:basedOn w:val="11"/>
    <w:uiPriority w:val="0"/>
  </w:style>
  <w:style w:type="character" w:customStyle="1" w:styleId="26">
    <w:name w:val="nth-child(1)1"/>
    <w:basedOn w:val="11"/>
    <w:uiPriority w:val="0"/>
  </w:style>
  <w:style w:type="character" w:customStyle="1" w:styleId="27">
    <w:name w:val="after"/>
    <w:basedOn w:val="11"/>
    <w:uiPriority w:val="0"/>
    <w:rPr>
      <w:bdr w:val="single" w:color="auto" w:sz="48" w:space="0"/>
    </w:rPr>
  </w:style>
  <w:style w:type="character" w:customStyle="1" w:styleId="28">
    <w:name w:val="nth-child(2)"/>
    <w:basedOn w:val="11"/>
    <w:uiPriority w:val="0"/>
  </w:style>
  <w:style w:type="character" w:customStyle="1" w:styleId="29">
    <w:name w:val="before"/>
    <w:basedOn w:val="11"/>
    <w:uiPriority w:val="0"/>
    <w:rPr>
      <w:bdr w:val="single" w:color="auto" w:sz="48"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7</TotalTime>
  <ScaleCrop>false</ScaleCrop>
  <LinksUpToDate>false</LinksUpToDate>
  <CharactersWithSpaces>8473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Administrator</cp:lastModifiedBy>
  <cp:lastPrinted>2020-09-27T02:01:00Z</cp:lastPrinted>
  <dcterms:modified xsi:type="dcterms:W3CDTF">2022-06-23T01:30:52Z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9D971228218440E886BBAD28842C031A</vt:lpwstr>
  </property>
</Properties>
</file>