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1F" w:rsidRDefault="00987137">
      <w:pPr>
        <w:spacing w:line="48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附件：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</w:p>
    <w:p w:rsidR="0067471F" w:rsidRDefault="00987137">
      <w:pPr>
        <w:spacing w:line="4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2019-2021</w:t>
      </w:r>
      <w:r>
        <w:rPr>
          <w:rFonts w:ascii="仿宋" w:eastAsia="仿宋" w:hAnsi="仿宋" w:hint="eastAsia"/>
          <w:b/>
          <w:sz w:val="36"/>
          <w:szCs w:val="36"/>
        </w:rPr>
        <w:t>级生源与招生评价</w:t>
      </w:r>
    </w:p>
    <w:p w:rsidR="0067471F" w:rsidRDefault="00987137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6"/>
          <w:szCs w:val="36"/>
        </w:rPr>
        <w:t>报告撰写服务项目</w:t>
      </w:r>
      <w:r>
        <w:rPr>
          <w:rFonts w:ascii="仿宋" w:eastAsia="仿宋" w:hAnsi="仿宋" w:cs="仿宋" w:hint="eastAsia"/>
          <w:b/>
          <w:sz w:val="32"/>
          <w:szCs w:val="32"/>
        </w:rPr>
        <w:t>协议书</w:t>
      </w:r>
    </w:p>
    <w:p w:rsidR="0067471F" w:rsidRDefault="0067471F">
      <w:pPr>
        <w:pStyle w:val="a0"/>
        <w:ind w:firstLineChars="0" w:firstLine="0"/>
      </w:pPr>
    </w:p>
    <w:p w:rsidR="0067471F" w:rsidRDefault="00987137">
      <w:pPr>
        <w:snapToGrid w:val="0"/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采购单位（甲方）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广西交通职业技术学院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67471F" w:rsidRDefault="00987137">
      <w:pPr>
        <w:snapToGrid w:val="0"/>
        <w:spacing w:line="40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供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应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商（乙方）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67471F" w:rsidRDefault="00987137">
      <w:pPr>
        <w:snapToGrid w:val="0"/>
        <w:spacing w:line="40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签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订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地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点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广西南宁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签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订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</w:t>
      </w:r>
    </w:p>
    <w:p w:rsidR="0067471F" w:rsidRDefault="0067471F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根据《中华人民共和国政府采购法》、《中华人民共和国合同法》等法律、法规规定，按照招投标文件（采购文件）规定条款和中标（成交）供应商承诺，甲乙双方签订本合同。</w:t>
      </w:r>
    </w:p>
    <w:p w:rsidR="0067471F" w:rsidRDefault="00987137">
      <w:pPr>
        <w:snapToGrid w:val="0"/>
        <w:spacing w:line="40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第一条　合同标的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、供货一览表</w:t>
      </w:r>
    </w:p>
    <w:tbl>
      <w:tblPr>
        <w:tblW w:w="911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206"/>
        <w:gridCol w:w="4163"/>
        <w:gridCol w:w="397"/>
        <w:gridCol w:w="735"/>
        <w:gridCol w:w="2073"/>
      </w:tblGrid>
      <w:tr w:rsidR="0067471F">
        <w:trPr>
          <w:trHeight w:val="7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1F" w:rsidRDefault="0098713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货物（服务、工程）名称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1F" w:rsidRDefault="0098713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预算金额（元）</w:t>
            </w:r>
          </w:p>
        </w:tc>
      </w:tr>
      <w:tr w:rsidR="0067471F">
        <w:trPr>
          <w:trHeight w:val="295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1F" w:rsidRDefault="009871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2019-2021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级生源与招生评价报告撰写服务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1F" w:rsidRDefault="0098713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我校提供学校生源的调查数据和基础数据以及调研问卷，由第三方供应商进行数据匹配、数据清理、数据分析、报告撰写工作。我校提供数据以及供应商分析指标应包括但不限于以下内容：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生源基本信息：包括入学口径、生源地分布、考试科类、高中类型；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生源质量分析：招生人数分析、高考分数分析、专业认可情况分析、报考人数宏观趋势变化分析；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招生竞争力分析：择校因素分析、择校比例分析；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招生宣传分析：招生工作满意度分析、招生宣传渠道分析；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按照以上内容，由供应商分析并撰写《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2019-2021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级生源与招生评价报告》：报告内容需细化到各二级学院及专业层面。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9871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71F" w:rsidRDefault="00674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7471F" w:rsidRDefault="0067471F">
      <w:pPr>
        <w:pStyle w:val="a0"/>
        <w:ind w:firstLineChars="0" w:firstLine="0"/>
      </w:pPr>
    </w:p>
    <w:p w:rsidR="0067471F" w:rsidRDefault="00987137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、合同合计金额包括提供服务所需的费用、人员费用、售后服务及开具发票等所有提供服务所需的各种费用；</w:t>
      </w:r>
    </w:p>
    <w:p w:rsidR="0067471F" w:rsidRDefault="00987137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投标方报价应考虑现场环境以及市场变化等各种因素，投标中标后，不再增任何费用；</w:t>
      </w:r>
    </w:p>
    <w:p w:rsidR="0067471F" w:rsidRDefault="00987137">
      <w:pPr>
        <w:snapToGrid w:val="0"/>
        <w:spacing w:line="40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sz w:val="28"/>
          <w:szCs w:val="28"/>
        </w:rPr>
        <w:t>条　权利保证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、乙方应保证所提供货物在使用时不会侵犯任何第三方的专利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权、商标权或其他权利。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、乙方应按采购文件规定的时间向甲方提供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生源与招生评价报告撰写服务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没有甲方事先书面同意，乙方不得将由甲方提供的有关合同或任何合同条文、规格、样品或资料提供给与履行本合同无关的任何其他人。即使向履行本合同有关的人员提供，也应注意保密并限于履行合同的必需范围。</w:t>
      </w:r>
    </w:p>
    <w:p w:rsidR="0067471F" w:rsidRDefault="00987137">
      <w:pPr>
        <w:numPr>
          <w:ilvl w:val="255"/>
          <w:numId w:val="0"/>
        </w:numPr>
        <w:spacing w:line="5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四、服务期限及付款方式</w:t>
      </w:r>
    </w:p>
    <w:p w:rsidR="0067471F" w:rsidRDefault="00987137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交付时间：项目启动调研后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个月内交付。</w:t>
      </w:r>
    </w:p>
    <w:p w:rsidR="0067471F" w:rsidRDefault="00987137">
      <w:pPr>
        <w:numPr>
          <w:ilvl w:val="255"/>
          <w:numId w:val="0"/>
        </w:numPr>
        <w:spacing w:line="52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付款方式：</w:t>
      </w:r>
      <w:r>
        <w:rPr>
          <w:rFonts w:ascii="宋体" w:eastAsia="宋体" w:hAnsi="宋体" w:cs="宋体" w:hint="eastAsia"/>
          <w:sz w:val="28"/>
          <w:szCs w:val="28"/>
        </w:rPr>
        <w:t>本项目无预付款，服务完成并经采购方验收合格，之后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个工作日内一次支付，由中标供货商提供正式发票后，款项以转账方式付清。</w:t>
      </w:r>
    </w:p>
    <w:p w:rsidR="0067471F" w:rsidRDefault="00987137" w:rsidP="002E4F85">
      <w:pPr>
        <w:pStyle w:val="a0"/>
        <w:ind w:firstLine="281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五、双方责任及义务</w:t>
      </w:r>
    </w:p>
    <w:p w:rsidR="0067471F" w:rsidRDefault="00987137" w:rsidP="002E4F85">
      <w:pPr>
        <w:pStyle w:val="a0"/>
        <w:ind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、甲方负责提供学校生源的调查数据和基础数据以及调研问卷。</w:t>
      </w:r>
    </w:p>
    <w:p w:rsidR="002E4F85" w:rsidRDefault="00987137" w:rsidP="002E4F85">
      <w:pPr>
        <w:pStyle w:val="a0"/>
        <w:ind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、乙方负责数据匹配、数据清理、数据分析、报告撰写工作。我校提供数据以及供应商分析指标应包括但不限于以下内容：</w:t>
      </w:r>
    </w:p>
    <w:p w:rsidR="002E4F85" w:rsidRDefault="00987137" w:rsidP="002E4F85">
      <w:pPr>
        <w:pStyle w:val="a0"/>
        <w:ind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）生源基本信息：包括入学口径、生源地分布、考试科类、高中类型；</w:t>
      </w:r>
    </w:p>
    <w:p w:rsidR="002E4F85" w:rsidRDefault="00987137" w:rsidP="002E4F85">
      <w:pPr>
        <w:pStyle w:val="a0"/>
        <w:ind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）生源质量分析：招生人数分析、高考分数分析、专业认可情况分析、报考人数宏观趋势变化分析；</w:t>
      </w:r>
    </w:p>
    <w:p w:rsidR="002E4F85" w:rsidRDefault="00987137" w:rsidP="002E4F85">
      <w:pPr>
        <w:pStyle w:val="a0"/>
        <w:ind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）招生竞争</w:t>
      </w:r>
      <w:r>
        <w:rPr>
          <w:rFonts w:ascii="宋体" w:eastAsia="宋体" w:hAnsi="宋体" w:cs="宋体" w:hint="eastAsia"/>
          <w:sz w:val="28"/>
          <w:szCs w:val="28"/>
        </w:rPr>
        <w:t>力分析：择校因素分析、择校比例分析；</w:t>
      </w:r>
    </w:p>
    <w:p w:rsidR="0067471F" w:rsidRDefault="00987137" w:rsidP="002E4F85">
      <w:pPr>
        <w:pStyle w:val="a0"/>
        <w:ind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）招生宣传分析：招生工作满意度分析、招生宣传渠道分析；</w:t>
      </w:r>
      <w:r>
        <w:rPr>
          <w:rFonts w:ascii="宋体" w:eastAsia="宋体" w:hAnsi="宋体" w:cs="宋体" w:hint="eastAsia"/>
          <w:sz w:val="28"/>
          <w:szCs w:val="28"/>
        </w:rPr>
        <w:br/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按照以上内容，由供应商分析并撰写《</w:t>
      </w:r>
      <w:r>
        <w:rPr>
          <w:rFonts w:ascii="宋体" w:eastAsia="宋体" w:hAnsi="宋体" w:cs="宋体" w:hint="eastAsia"/>
          <w:sz w:val="28"/>
          <w:szCs w:val="28"/>
        </w:rPr>
        <w:t>2019-2021</w:t>
      </w:r>
      <w:r>
        <w:rPr>
          <w:rFonts w:ascii="宋体" w:eastAsia="宋体" w:hAnsi="宋体" w:cs="宋体" w:hint="eastAsia"/>
          <w:sz w:val="28"/>
          <w:szCs w:val="28"/>
        </w:rPr>
        <w:t>级生源与招生评价报告》：报告内容需细化到各二级学院及专业层面。</w:t>
      </w:r>
    </w:p>
    <w:p w:rsidR="0067471F" w:rsidRDefault="00987137">
      <w:pPr>
        <w:snapToGrid w:val="0"/>
        <w:spacing w:line="40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六</w:t>
      </w:r>
      <w:r>
        <w:rPr>
          <w:rFonts w:ascii="宋体" w:eastAsia="宋体" w:hAnsi="宋体" w:cs="宋体" w:hint="eastAsia"/>
          <w:b/>
          <w:sz w:val="28"/>
          <w:szCs w:val="28"/>
        </w:rPr>
        <w:t>条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不可抗力事件处理</w:t>
      </w:r>
    </w:p>
    <w:p w:rsidR="0067471F" w:rsidRDefault="00987137">
      <w:pPr>
        <w:pStyle w:val="a5"/>
        <w:snapToGrid w:val="0"/>
        <w:spacing w:line="40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 xml:space="preserve">1. </w:t>
      </w:r>
      <w:r>
        <w:rPr>
          <w:rFonts w:eastAsia="宋体" w:hAnsi="宋体" w:cs="宋体" w:hint="eastAsia"/>
          <w:sz w:val="28"/>
          <w:szCs w:val="28"/>
        </w:rPr>
        <w:t>在合同有效期内，任何一方因不可抗力事件导致不能履行合同，则合同履行期可延长，其延长期与不可抗力影响期相同。</w:t>
      </w:r>
    </w:p>
    <w:p w:rsidR="0067471F" w:rsidRDefault="00987137">
      <w:pPr>
        <w:pStyle w:val="a5"/>
        <w:snapToGrid w:val="0"/>
        <w:spacing w:line="40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 xml:space="preserve">2. </w:t>
      </w:r>
      <w:r>
        <w:rPr>
          <w:rFonts w:eastAsia="宋体" w:hAnsi="宋体" w:cs="宋体" w:hint="eastAsia"/>
          <w:sz w:val="28"/>
          <w:szCs w:val="28"/>
        </w:rPr>
        <w:t>不可抗力事件发生后，应立即通知对方，并寄送有关权威机构出具的证明。</w:t>
      </w:r>
    </w:p>
    <w:p w:rsidR="0067471F" w:rsidRDefault="00987137">
      <w:pPr>
        <w:snapToGrid w:val="0"/>
        <w:spacing w:line="400" w:lineRule="exact"/>
        <w:ind w:left="-61" w:firstLine="5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3. </w:t>
      </w:r>
      <w:r>
        <w:rPr>
          <w:rFonts w:ascii="宋体" w:eastAsia="宋体" w:hAnsi="宋体" w:cs="宋体" w:hint="eastAsia"/>
          <w:sz w:val="28"/>
          <w:szCs w:val="28"/>
        </w:rPr>
        <w:t>不可抗力事件延续一百二十天以上，双方应通过友好协商，确定是否继续履行合同。</w:t>
      </w:r>
    </w:p>
    <w:p w:rsidR="0067471F" w:rsidRDefault="00987137">
      <w:pPr>
        <w:snapToGrid w:val="0"/>
        <w:spacing w:line="40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七</w:t>
      </w:r>
      <w:r>
        <w:rPr>
          <w:rFonts w:ascii="宋体" w:eastAsia="宋体" w:hAnsi="宋体" w:cs="宋体" w:hint="eastAsia"/>
          <w:b/>
          <w:sz w:val="28"/>
          <w:szCs w:val="28"/>
        </w:rPr>
        <w:t>条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合同争议解决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、因货物质量问题发生争议的，应邀请国家认可的质量检测机构对货物质量进行鉴定。货物符合标准的，鉴定费由甲方承担；货物不符合标准的，鉴定费由乙方承担。</w:t>
      </w:r>
    </w:p>
    <w:p w:rsidR="0067471F" w:rsidRDefault="00987137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、因履行本合同引起的或与本合同有关的争议，甲乙双方应首先通过友好协商解决，如果协商不能解决，可向甲方所在地人民法院提起诉讼。</w:t>
      </w:r>
    </w:p>
    <w:p w:rsidR="0067471F" w:rsidRDefault="00987137">
      <w:pPr>
        <w:snapToGrid w:val="0"/>
        <w:spacing w:line="400" w:lineRule="exact"/>
        <w:ind w:left="-61" w:firstLine="5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、诉讼期间，本合同继续履行。</w:t>
      </w:r>
    </w:p>
    <w:p w:rsidR="0067471F" w:rsidRDefault="00987137">
      <w:pPr>
        <w:pStyle w:val="a5"/>
        <w:snapToGrid w:val="0"/>
        <w:spacing w:line="400" w:lineRule="exact"/>
        <w:ind w:firstLineChars="196" w:firstLine="551"/>
        <w:rPr>
          <w:rFonts w:eastAsia="宋体" w:hAnsi="宋体" w:cs="宋体"/>
          <w:b/>
          <w:kern w:val="2"/>
          <w:sz w:val="28"/>
          <w:szCs w:val="28"/>
        </w:rPr>
      </w:pPr>
      <w:r>
        <w:rPr>
          <w:rFonts w:eastAsia="宋体" w:hAnsi="宋体" w:cs="宋体" w:hint="eastAsia"/>
          <w:b/>
          <w:kern w:val="2"/>
          <w:sz w:val="28"/>
          <w:szCs w:val="28"/>
        </w:rPr>
        <w:t>第</w:t>
      </w:r>
      <w:r>
        <w:rPr>
          <w:rFonts w:eastAsia="宋体" w:hAnsi="宋体" w:cs="宋体" w:hint="eastAsia"/>
          <w:b/>
          <w:kern w:val="2"/>
          <w:sz w:val="28"/>
          <w:szCs w:val="28"/>
        </w:rPr>
        <w:t>八</w:t>
      </w:r>
      <w:r>
        <w:rPr>
          <w:rFonts w:eastAsia="宋体" w:hAnsi="宋体" w:cs="宋体" w:hint="eastAsia"/>
          <w:b/>
          <w:kern w:val="2"/>
          <w:sz w:val="28"/>
          <w:szCs w:val="28"/>
        </w:rPr>
        <w:t>条</w:t>
      </w:r>
      <w:r>
        <w:rPr>
          <w:rFonts w:eastAsia="宋体" w:hAnsi="宋体" w:cs="宋体" w:hint="eastAsia"/>
          <w:b/>
          <w:kern w:val="2"/>
          <w:sz w:val="28"/>
          <w:szCs w:val="28"/>
        </w:rPr>
        <w:t xml:space="preserve">  </w:t>
      </w:r>
      <w:r>
        <w:rPr>
          <w:rFonts w:eastAsia="宋体" w:hAnsi="宋体" w:cs="宋体" w:hint="eastAsia"/>
          <w:b/>
          <w:kern w:val="2"/>
          <w:sz w:val="28"/>
          <w:szCs w:val="28"/>
        </w:rPr>
        <w:t>合同生效及其它</w:t>
      </w:r>
    </w:p>
    <w:p w:rsidR="0067471F" w:rsidRDefault="00987137">
      <w:pPr>
        <w:pStyle w:val="a5"/>
        <w:snapToGrid w:val="0"/>
        <w:spacing w:line="40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1.</w:t>
      </w:r>
      <w:r>
        <w:rPr>
          <w:rFonts w:eastAsia="宋体" w:hAnsi="宋体" w:cs="宋体" w:hint="eastAsia"/>
          <w:sz w:val="28"/>
          <w:szCs w:val="28"/>
        </w:rPr>
        <w:t>合同经双方法定代表人或被授权代表签字并加盖单位公章后生效。</w:t>
      </w:r>
    </w:p>
    <w:p w:rsidR="0067471F" w:rsidRDefault="00987137">
      <w:pPr>
        <w:pStyle w:val="a5"/>
        <w:snapToGrid w:val="0"/>
        <w:spacing w:line="400" w:lineRule="exact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2.</w:t>
      </w:r>
      <w:r>
        <w:rPr>
          <w:rFonts w:eastAsia="宋体" w:hAnsi="宋体" w:cs="宋体" w:hint="eastAsia"/>
          <w:sz w:val="28"/>
          <w:szCs w:val="28"/>
        </w:rPr>
        <w:t>合同执行</w:t>
      </w:r>
      <w:r>
        <w:rPr>
          <w:rFonts w:eastAsia="宋体" w:hAnsi="宋体" w:cs="宋体" w:hint="eastAsia"/>
          <w:sz w:val="28"/>
          <w:szCs w:val="28"/>
        </w:rPr>
        <w:t>中涉及采购资金和采购内容修改或补充的，在法规范围内，须签书面补充协议方可作为主合同不可分割的一部分。</w:t>
      </w:r>
    </w:p>
    <w:p w:rsidR="0067471F" w:rsidRDefault="00987137">
      <w:pPr>
        <w:pStyle w:val="a5"/>
        <w:snapToGrid w:val="0"/>
        <w:spacing w:line="400" w:lineRule="exact"/>
        <w:ind w:leftChars="200" w:left="42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3.</w:t>
      </w:r>
      <w:r>
        <w:rPr>
          <w:rFonts w:eastAsia="宋体" w:hAnsi="宋体" w:cs="宋体" w:hint="eastAsia"/>
          <w:sz w:val="28"/>
          <w:szCs w:val="28"/>
        </w:rPr>
        <w:t>本合同未尽事宜，遵照《合同法》有关条文执行。</w:t>
      </w:r>
    </w:p>
    <w:p w:rsidR="0067471F" w:rsidRDefault="00987137">
      <w:pPr>
        <w:snapToGrid w:val="0"/>
        <w:spacing w:line="40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九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条　</w:t>
      </w:r>
      <w:r>
        <w:rPr>
          <w:rFonts w:ascii="宋体" w:eastAsia="宋体" w:hAnsi="宋体" w:cs="宋体" w:hint="eastAsia"/>
          <w:sz w:val="28"/>
          <w:szCs w:val="28"/>
        </w:rPr>
        <w:t>本合同一式伍份，具有同等法律效力，甲方肆份，乙方壹份。本合同甲乙双方签字盖章后生效。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67471F">
        <w:trPr>
          <w:cantSplit/>
          <w:trHeight w:val="1078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甲方（章）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67471F" w:rsidRDefault="0067471F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67471F" w:rsidRDefault="00987137">
            <w:pPr>
              <w:snapToGrid w:val="0"/>
              <w:spacing w:line="400" w:lineRule="exact"/>
              <w:ind w:firstLineChars="450" w:firstLine="94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乙方（章）</w:t>
            </w: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  <w:p w:rsidR="0067471F" w:rsidRDefault="0067471F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67471F" w:rsidRDefault="00987137">
            <w:pPr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单位地址：南宁市昆仑大道</w:t>
            </w:r>
            <w:r>
              <w:rPr>
                <w:rFonts w:ascii="宋体" w:hAnsi="宋体" w:hint="eastAsia"/>
                <w:szCs w:val="21"/>
              </w:rPr>
              <w:t>1258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法定代表人：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开户银行：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账号：</w:t>
            </w:r>
          </w:p>
        </w:tc>
      </w:tr>
      <w:tr w:rsidR="0067471F">
        <w:trPr>
          <w:cantSplit/>
          <w:trHeight w:val="397"/>
        </w:trPr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邮政编码：</w:t>
            </w:r>
          </w:p>
        </w:tc>
        <w:tc>
          <w:tcPr>
            <w:tcW w:w="4264" w:type="dxa"/>
            <w:vAlign w:val="center"/>
          </w:tcPr>
          <w:p w:rsidR="0067471F" w:rsidRDefault="00987137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邮政编码：</w:t>
            </w:r>
          </w:p>
        </w:tc>
      </w:tr>
    </w:tbl>
    <w:p w:rsidR="0067471F" w:rsidRDefault="0067471F"/>
    <w:p w:rsidR="0067471F" w:rsidRDefault="0067471F">
      <w:bookmarkStart w:id="0" w:name="_GoBack"/>
      <w:bookmarkEnd w:id="0"/>
    </w:p>
    <w:sectPr w:rsidR="0067471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37" w:rsidRDefault="00987137">
      <w:r>
        <w:separator/>
      </w:r>
    </w:p>
  </w:endnote>
  <w:endnote w:type="continuationSeparator" w:id="0">
    <w:p w:rsidR="00987137" w:rsidRDefault="0098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F" w:rsidRDefault="0098713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471F" w:rsidRDefault="00987137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E4F8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2E4F8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7471F" w:rsidRDefault="00987137">
                    <w:pPr>
                      <w:pStyle w:val="a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E4F8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2E4F8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7471F" w:rsidRDefault="006747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37" w:rsidRDefault="00987137">
      <w:r>
        <w:separator/>
      </w:r>
    </w:p>
  </w:footnote>
  <w:footnote w:type="continuationSeparator" w:id="0">
    <w:p w:rsidR="00987137" w:rsidRDefault="0098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1A17"/>
    <w:rsid w:val="002E4F85"/>
    <w:rsid w:val="0067471F"/>
    <w:rsid w:val="00987137"/>
    <w:rsid w:val="6C0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/>
      <w:kern w:val="0"/>
      <w:sz w:val="20"/>
      <w:szCs w:val="21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/>
      <w:kern w:val="0"/>
      <w:sz w:val="20"/>
      <w:szCs w:val="21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1654</Characters>
  <Application>Microsoft Office Word</Application>
  <DocSecurity>0</DocSecurity>
  <Lines>13</Lines>
  <Paragraphs>3</Paragraphs>
  <ScaleCrop>false</ScaleCrop>
  <Company>mycomputer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克元</dc:creator>
  <cp:lastModifiedBy>Administrator</cp:lastModifiedBy>
  <cp:revision>3</cp:revision>
  <dcterms:created xsi:type="dcterms:W3CDTF">2021-10-23T13:56:00Z</dcterms:created>
  <dcterms:modified xsi:type="dcterms:W3CDTF">2021-10-24T04:48:00Z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C37198CD23794042B00A384F80AE5998</vt:lpwstr>
  </property>
</Properties>
</file>