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35DE" w14:textId="77777777" w:rsidR="00960785" w:rsidRDefault="00960785" w:rsidP="00205327">
      <w:pPr>
        <w:spacing w:line="276" w:lineRule="auto"/>
        <w:rPr>
          <w:rFonts w:ascii="仿宋" w:eastAsia="仿宋" w:hAnsi="仿宋" w:cs="宋体"/>
          <w:b/>
          <w:bCs/>
          <w:kern w:val="0"/>
          <w:sz w:val="32"/>
          <w:szCs w:val="32"/>
        </w:rPr>
      </w:pPr>
    </w:p>
    <w:p w14:paraId="134C4C3C" w14:textId="77777777" w:rsidR="00960785" w:rsidRDefault="00000000" w:rsidP="00205327">
      <w:pPr>
        <w:spacing w:line="276" w:lineRule="auto"/>
        <w:rPr>
          <w:rFonts w:ascii="仿宋" w:eastAsia="仿宋" w:hAnsi="仿宋" w:cs="仿宋"/>
          <w:b/>
          <w:sz w:val="32"/>
          <w:szCs w:val="32"/>
        </w:rPr>
      </w:pPr>
      <w:r>
        <w:rPr>
          <w:rFonts w:ascii="仿宋" w:eastAsia="仿宋" w:hAnsi="仿宋" w:cs="仿宋" w:hint="eastAsia"/>
          <w:b/>
          <w:sz w:val="30"/>
          <w:szCs w:val="30"/>
        </w:rPr>
        <w:t xml:space="preserve">附件1：      </w:t>
      </w:r>
      <w:r>
        <w:rPr>
          <w:rFonts w:ascii="仿宋" w:eastAsia="仿宋" w:hAnsi="仿宋" w:cs="仿宋" w:hint="eastAsia"/>
          <w:b/>
          <w:sz w:val="32"/>
          <w:szCs w:val="32"/>
        </w:rPr>
        <w:t xml:space="preserve">  </w:t>
      </w:r>
    </w:p>
    <w:p w14:paraId="71155151" w14:textId="77777777" w:rsidR="00960785" w:rsidRDefault="00000000" w:rsidP="00205327">
      <w:pPr>
        <w:spacing w:line="276" w:lineRule="auto"/>
        <w:jc w:val="center"/>
        <w:rPr>
          <w:rFonts w:ascii="仿宋" w:eastAsia="仿宋" w:hAnsi="仿宋" w:cs="仿宋"/>
          <w:b/>
          <w:sz w:val="28"/>
          <w:szCs w:val="28"/>
        </w:rPr>
      </w:pPr>
      <w:r>
        <w:rPr>
          <w:rFonts w:ascii="仿宋" w:eastAsia="仿宋" w:hAnsi="仿宋" w:cs="仿宋" w:hint="eastAsia"/>
          <w:b/>
          <w:sz w:val="28"/>
          <w:szCs w:val="28"/>
        </w:rPr>
        <w:t>广西交通职业技术学院</w:t>
      </w:r>
    </w:p>
    <w:p w14:paraId="59DD811E" w14:textId="77777777" w:rsidR="00960785" w:rsidRDefault="00000000" w:rsidP="00205327">
      <w:pPr>
        <w:spacing w:line="276" w:lineRule="auto"/>
        <w:jc w:val="center"/>
        <w:rPr>
          <w:rFonts w:ascii="仿宋" w:eastAsia="仿宋" w:hAnsi="仿宋" w:cs="仿宋"/>
          <w:sz w:val="28"/>
          <w:szCs w:val="28"/>
        </w:rPr>
      </w:pPr>
      <w:r>
        <w:rPr>
          <w:rFonts w:ascii="仿宋" w:eastAsia="仿宋" w:hAnsi="仿宋" w:cs="仿宋" w:hint="eastAsia"/>
          <w:b/>
          <w:sz w:val="28"/>
          <w:szCs w:val="28"/>
        </w:rPr>
        <w:t>202</w:t>
      </w:r>
      <w:r>
        <w:rPr>
          <w:rFonts w:ascii="仿宋" w:eastAsia="仿宋" w:hAnsi="仿宋" w:cs="仿宋"/>
          <w:b/>
          <w:sz w:val="28"/>
          <w:szCs w:val="28"/>
        </w:rPr>
        <w:t>2</w:t>
      </w:r>
      <w:r>
        <w:rPr>
          <w:rFonts w:ascii="仿宋" w:eastAsia="仿宋" w:hAnsi="仿宋" w:cs="仿宋" w:hint="eastAsia"/>
          <w:b/>
          <w:sz w:val="28"/>
          <w:szCs w:val="28"/>
        </w:rPr>
        <w:t>年新生报到身份校验核查服务采购协议书</w:t>
      </w:r>
    </w:p>
    <w:p w14:paraId="21AF3CEF" w14:textId="77777777" w:rsidR="00960785" w:rsidRDefault="00000000" w:rsidP="00205327">
      <w:pPr>
        <w:snapToGrid w:val="0"/>
        <w:spacing w:line="276" w:lineRule="auto"/>
        <w:rPr>
          <w:rFonts w:ascii="仿宋" w:eastAsia="仿宋" w:hAnsi="仿宋" w:cs="仿宋"/>
          <w:sz w:val="28"/>
          <w:szCs w:val="28"/>
        </w:rPr>
      </w:pPr>
      <w:r>
        <w:rPr>
          <w:rFonts w:ascii="仿宋" w:eastAsia="仿宋" w:hAnsi="仿宋" w:cs="仿宋" w:hint="eastAsia"/>
          <w:sz w:val="28"/>
          <w:szCs w:val="28"/>
        </w:rPr>
        <w:t>采购单位（甲方）</w:t>
      </w:r>
      <w:r>
        <w:rPr>
          <w:rFonts w:ascii="仿宋" w:eastAsia="仿宋" w:hAnsi="仿宋" w:cs="仿宋" w:hint="eastAsia"/>
          <w:sz w:val="28"/>
          <w:szCs w:val="28"/>
          <w:u w:val="single"/>
        </w:rPr>
        <w:t xml:space="preserve">  广西交通职业技术学院   </w:t>
      </w:r>
      <w:r>
        <w:rPr>
          <w:rFonts w:ascii="仿宋" w:eastAsia="仿宋" w:hAnsi="仿宋" w:cs="仿宋" w:hint="eastAsia"/>
          <w:sz w:val="28"/>
          <w:szCs w:val="28"/>
        </w:rPr>
        <w:t xml:space="preserve">  </w:t>
      </w:r>
    </w:p>
    <w:p w14:paraId="5AC158EA" w14:textId="77777777" w:rsidR="00960785" w:rsidRDefault="00000000" w:rsidP="00205327">
      <w:pPr>
        <w:snapToGrid w:val="0"/>
        <w:spacing w:line="276" w:lineRule="auto"/>
        <w:rPr>
          <w:rFonts w:ascii="仿宋" w:eastAsia="仿宋" w:hAnsi="仿宋" w:cs="仿宋"/>
          <w:sz w:val="28"/>
          <w:szCs w:val="28"/>
          <w:u w:val="single"/>
        </w:rPr>
      </w:pPr>
      <w:r>
        <w:rPr>
          <w:rFonts w:ascii="仿宋" w:eastAsia="仿宋" w:hAnsi="仿宋" w:cs="仿宋" w:hint="eastAsia"/>
          <w:sz w:val="28"/>
          <w:szCs w:val="28"/>
        </w:rPr>
        <w:t>供 应 商（乙方）</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467CFCC6" w14:textId="77777777" w:rsidR="00960785" w:rsidRDefault="00000000" w:rsidP="00205327">
      <w:pPr>
        <w:snapToGrid w:val="0"/>
        <w:spacing w:line="276" w:lineRule="auto"/>
        <w:rPr>
          <w:rFonts w:ascii="仿宋" w:eastAsia="仿宋" w:hAnsi="仿宋" w:cs="仿宋"/>
          <w:sz w:val="28"/>
          <w:szCs w:val="28"/>
          <w:u w:val="single"/>
        </w:rPr>
      </w:pPr>
      <w:r>
        <w:rPr>
          <w:rFonts w:ascii="仿宋" w:eastAsia="仿宋" w:hAnsi="仿宋" w:cs="仿宋" w:hint="eastAsia"/>
          <w:sz w:val="28"/>
          <w:szCs w:val="28"/>
        </w:rPr>
        <w:t xml:space="preserve">签  订  地  点  </w:t>
      </w:r>
      <w:r>
        <w:rPr>
          <w:rFonts w:ascii="仿宋" w:eastAsia="仿宋" w:hAnsi="仿宋" w:cs="仿宋" w:hint="eastAsia"/>
          <w:sz w:val="28"/>
          <w:szCs w:val="28"/>
          <w:u w:val="single"/>
        </w:rPr>
        <w:t xml:space="preserve">     广西南宁   </w:t>
      </w:r>
      <w:r>
        <w:rPr>
          <w:rFonts w:ascii="仿宋" w:eastAsia="仿宋" w:hAnsi="仿宋" w:cs="仿宋" w:hint="eastAsia"/>
          <w:sz w:val="28"/>
          <w:szCs w:val="28"/>
        </w:rPr>
        <w:t xml:space="preserve">   签 订 时 间</w:t>
      </w:r>
      <w:r>
        <w:rPr>
          <w:rFonts w:ascii="仿宋" w:eastAsia="仿宋" w:hAnsi="仿宋" w:cs="仿宋" w:hint="eastAsia"/>
          <w:sz w:val="28"/>
          <w:szCs w:val="28"/>
          <w:u w:val="single"/>
        </w:rPr>
        <w:t xml:space="preserve">                    </w:t>
      </w:r>
    </w:p>
    <w:p w14:paraId="43FA03C2" w14:textId="77777777" w:rsidR="00960785" w:rsidRDefault="00960785" w:rsidP="00205327">
      <w:pPr>
        <w:snapToGrid w:val="0"/>
        <w:spacing w:line="276" w:lineRule="auto"/>
        <w:ind w:firstLineChars="200" w:firstLine="560"/>
        <w:rPr>
          <w:rFonts w:ascii="仿宋" w:eastAsia="仿宋" w:hAnsi="仿宋" w:cs="仿宋"/>
          <w:sz w:val="28"/>
          <w:szCs w:val="28"/>
        </w:rPr>
      </w:pPr>
    </w:p>
    <w:p w14:paraId="696EFC6C" w14:textId="77777777" w:rsidR="00960785" w:rsidRDefault="00000000" w:rsidP="00205327">
      <w:pPr>
        <w:snapToGrid w:val="0"/>
        <w:spacing w:line="276"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根据《中华人民共和国政府采购法》、《中华人民共和国合同法》等法律、法规规定，按照招投标文件（采购文件）规定条款和中标（成交）供应商承诺，甲乙双方签订本合同。</w:t>
      </w:r>
    </w:p>
    <w:p w14:paraId="61D697FE" w14:textId="42654FD0" w:rsidR="00960785" w:rsidRPr="007174C9" w:rsidRDefault="00000000" w:rsidP="00205327">
      <w:pPr>
        <w:pStyle w:val="aa"/>
        <w:numPr>
          <w:ilvl w:val="0"/>
          <w:numId w:val="1"/>
        </w:numPr>
        <w:snapToGrid w:val="0"/>
        <w:spacing w:line="276" w:lineRule="auto"/>
        <w:ind w:firstLineChars="0"/>
        <w:rPr>
          <w:rFonts w:ascii="仿宋" w:eastAsia="仿宋" w:hAnsi="仿宋" w:cs="仿宋"/>
          <w:b/>
          <w:sz w:val="28"/>
          <w:szCs w:val="28"/>
        </w:rPr>
      </w:pPr>
      <w:r w:rsidRPr="007174C9">
        <w:rPr>
          <w:rFonts w:ascii="仿宋" w:eastAsia="仿宋" w:hAnsi="仿宋" w:cs="仿宋" w:hint="eastAsia"/>
          <w:b/>
          <w:sz w:val="28"/>
          <w:szCs w:val="28"/>
        </w:rPr>
        <w:t>合同标的</w:t>
      </w:r>
    </w:p>
    <w:p w14:paraId="54259F83" w14:textId="266E82F3" w:rsidR="007174C9" w:rsidRPr="007174C9" w:rsidRDefault="007174C9" w:rsidP="00205327">
      <w:pPr>
        <w:snapToGrid w:val="0"/>
        <w:spacing w:line="276"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服务人数、地址：</w:t>
      </w:r>
    </w:p>
    <w:p w14:paraId="4CDF8337" w14:textId="77777777" w:rsidR="00960785" w:rsidRPr="007174C9" w:rsidRDefault="00000000" w:rsidP="00205327">
      <w:pPr>
        <w:snapToGrid w:val="0"/>
        <w:spacing w:line="276" w:lineRule="auto"/>
        <w:ind w:firstLineChars="200" w:firstLine="560"/>
        <w:rPr>
          <w:rFonts w:ascii="仿宋" w:eastAsia="仿宋" w:hAnsi="仿宋" w:cs="仿宋"/>
          <w:sz w:val="28"/>
          <w:szCs w:val="28"/>
        </w:rPr>
      </w:pPr>
      <w:r w:rsidRPr="007174C9">
        <w:rPr>
          <w:rFonts w:ascii="仿宋" w:eastAsia="仿宋" w:hAnsi="仿宋" w:cs="仿宋" w:hint="eastAsia"/>
          <w:sz w:val="28"/>
          <w:szCs w:val="28"/>
        </w:rPr>
        <w:t>2022年广西交通职业技术学院计划招生人数约10565人左右，最终以实际报到人数为准。（其中：昆仑校区（位于南宁市昆仑大道1258号）预计新生人数为7940人；园湖校区（位于南宁市园湖北路12号）预计新生为1070人；相思湖校区（位于南宁市大学东路109号）预计新生为990人;5个办学点预计565人，具体地址如下)。</w:t>
      </w:r>
    </w:p>
    <w:p w14:paraId="35B9A8E7" w14:textId="77777777" w:rsidR="00960785" w:rsidRPr="007174C9" w:rsidRDefault="00000000" w:rsidP="00205327">
      <w:pPr>
        <w:snapToGrid w:val="0"/>
        <w:spacing w:line="276" w:lineRule="auto"/>
        <w:ind w:firstLineChars="200" w:firstLine="560"/>
        <w:rPr>
          <w:rFonts w:ascii="仿宋" w:eastAsia="仿宋" w:hAnsi="仿宋" w:cs="仿宋"/>
          <w:sz w:val="28"/>
          <w:szCs w:val="28"/>
        </w:rPr>
      </w:pPr>
      <w:r w:rsidRPr="007174C9">
        <w:rPr>
          <w:rFonts w:ascii="仿宋" w:eastAsia="仿宋" w:hAnsi="仿宋" w:cs="仿宋" w:hint="eastAsia"/>
          <w:sz w:val="28"/>
          <w:szCs w:val="28"/>
        </w:rPr>
        <w:t>(1)广西城市建设学校办学点235人，地址：桂林市</w:t>
      </w:r>
      <w:proofErr w:type="gramStart"/>
      <w:r w:rsidRPr="007174C9">
        <w:rPr>
          <w:rFonts w:ascii="仿宋" w:eastAsia="仿宋" w:hAnsi="仿宋" w:cs="仿宋" w:hint="eastAsia"/>
          <w:sz w:val="28"/>
          <w:szCs w:val="28"/>
        </w:rPr>
        <w:t>象</w:t>
      </w:r>
      <w:proofErr w:type="gramEnd"/>
      <w:r w:rsidRPr="007174C9">
        <w:rPr>
          <w:rFonts w:ascii="仿宋" w:eastAsia="仿宋" w:hAnsi="仿宋" w:cs="仿宋" w:hint="eastAsia"/>
          <w:sz w:val="28"/>
          <w:szCs w:val="28"/>
        </w:rPr>
        <w:t>山区环城南二路1</w:t>
      </w:r>
      <w:r w:rsidRPr="007174C9">
        <w:rPr>
          <w:rFonts w:ascii="仿宋" w:eastAsia="仿宋" w:hAnsi="仿宋" w:cs="仿宋"/>
          <w:sz w:val="28"/>
          <w:szCs w:val="28"/>
        </w:rPr>
        <w:t>21</w:t>
      </w:r>
      <w:r w:rsidRPr="007174C9">
        <w:rPr>
          <w:rFonts w:ascii="仿宋" w:eastAsia="仿宋" w:hAnsi="仿宋" w:cs="仿宋" w:hint="eastAsia"/>
          <w:sz w:val="28"/>
          <w:szCs w:val="28"/>
        </w:rPr>
        <w:t>号</w:t>
      </w:r>
    </w:p>
    <w:p w14:paraId="2E916A2E" w14:textId="77777777" w:rsidR="00960785" w:rsidRPr="007174C9" w:rsidRDefault="00000000" w:rsidP="00205327">
      <w:pPr>
        <w:snapToGrid w:val="0"/>
        <w:spacing w:line="276" w:lineRule="auto"/>
        <w:ind w:firstLineChars="200" w:firstLine="560"/>
        <w:rPr>
          <w:rFonts w:ascii="仿宋" w:eastAsia="仿宋" w:hAnsi="仿宋" w:cs="仿宋"/>
          <w:sz w:val="28"/>
          <w:szCs w:val="28"/>
        </w:rPr>
      </w:pPr>
      <w:r w:rsidRPr="007174C9">
        <w:rPr>
          <w:rFonts w:ascii="仿宋" w:eastAsia="仿宋" w:hAnsi="仿宋" w:cs="仿宋" w:hint="eastAsia"/>
          <w:sz w:val="28"/>
          <w:szCs w:val="28"/>
        </w:rPr>
        <w:t>(2)广西交通技师学院办学点80人，地址：南宁市兴宁区</w:t>
      </w:r>
      <w:proofErr w:type="gramStart"/>
      <w:r w:rsidRPr="007174C9">
        <w:rPr>
          <w:rFonts w:ascii="仿宋" w:eastAsia="仿宋" w:hAnsi="仿宋" w:cs="仿宋" w:hint="eastAsia"/>
          <w:sz w:val="28"/>
          <w:szCs w:val="28"/>
        </w:rPr>
        <w:t>邕</w:t>
      </w:r>
      <w:proofErr w:type="gramEnd"/>
      <w:r w:rsidRPr="007174C9">
        <w:rPr>
          <w:rFonts w:ascii="仿宋" w:eastAsia="仿宋" w:hAnsi="仿宋" w:cs="仿宋" w:hint="eastAsia"/>
          <w:sz w:val="28"/>
          <w:szCs w:val="28"/>
        </w:rPr>
        <w:t>武路9号</w:t>
      </w:r>
    </w:p>
    <w:p w14:paraId="1BA32C66" w14:textId="77777777" w:rsidR="00960785" w:rsidRPr="007174C9" w:rsidRDefault="00000000" w:rsidP="00205327">
      <w:pPr>
        <w:snapToGrid w:val="0"/>
        <w:spacing w:line="276" w:lineRule="auto"/>
        <w:ind w:firstLineChars="200" w:firstLine="560"/>
        <w:rPr>
          <w:rFonts w:ascii="仿宋" w:eastAsia="仿宋" w:hAnsi="仿宋" w:cs="仿宋"/>
          <w:sz w:val="28"/>
          <w:szCs w:val="28"/>
        </w:rPr>
      </w:pPr>
      <w:r w:rsidRPr="007174C9">
        <w:rPr>
          <w:rFonts w:ascii="仿宋" w:eastAsia="仿宋" w:hAnsi="仿宋" w:cs="仿宋" w:hint="eastAsia"/>
          <w:sz w:val="28"/>
          <w:szCs w:val="28"/>
        </w:rPr>
        <w:t>(3)南宁市第一职业技术学校办学点160人，地址：南宁市五</w:t>
      </w:r>
      <w:proofErr w:type="gramStart"/>
      <w:r w:rsidRPr="007174C9">
        <w:rPr>
          <w:rFonts w:ascii="仿宋" w:eastAsia="仿宋" w:hAnsi="仿宋" w:cs="仿宋" w:hint="eastAsia"/>
          <w:sz w:val="28"/>
          <w:szCs w:val="28"/>
        </w:rPr>
        <w:t>象</w:t>
      </w:r>
      <w:proofErr w:type="gramEnd"/>
      <w:r w:rsidRPr="007174C9">
        <w:rPr>
          <w:rFonts w:ascii="仿宋" w:eastAsia="仿宋" w:hAnsi="仿宋" w:cs="仿宋" w:hint="eastAsia"/>
          <w:sz w:val="28"/>
          <w:szCs w:val="28"/>
        </w:rPr>
        <w:t>大道东段152号</w:t>
      </w:r>
    </w:p>
    <w:p w14:paraId="5DEAF5AF" w14:textId="77777777" w:rsidR="00960785" w:rsidRPr="007174C9" w:rsidRDefault="00000000" w:rsidP="00205327">
      <w:pPr>
        <w:snapToGrid w:val="0"/>
        <w:spacing w:line="276" w:lineRule="auto"/>
        <w:ind w:firstLineChars="200" w:firstLine="560"/>
        <w:rPr>
          <w:rFonts w:ascii="仿宋" w:eastAsia="仿宋" w:hAnsi="仿宋" w:cs="仿宋"/>
          <w:sz w:val="28"/>
          <w:szCs w:val="28"/>
        </w:rPr>
      </w:pPr>
      <w:r w:rsidRPr="007174C9">
        <w:rPr>
          <w:rFonts w:ascii="仿宋" w:eastAsia="仿宋" w:hAnsi="仿宋" w:cs="仿宋" w:hint="eastAsia"/>
          <w:sz w:val="28"/>
          <w:szCs w:val="28"/>
        </w:rPr>
        <w:t>(4)南宁市第四职业技术学校办学点50人，地址：广西南宁市竹溪大道28号</w:t>
      </w:r>
    </w:p>
    <w:p w14:paraId="19E00FFF" w14:textId="22AC512F" w:rsidR="00960785" w:rsidRDefault="00000000" w:rsidP="00205327">
      <w:pPr>
        <w:snapToGrid w:val="0"/>
        <w:spacing w:line="276" w:lineRule="auto"/>
        <w:ind w:firstLineChars="200" w:firstLine="560"/>
        <w:rPr>
          <w:rFonts w:ascii="仿宋" w:eastAsia="仿宋" w:hAnsi="仿宋" w:cs="仿宋"/>
          <w:sz w:val="28"/>
          <w:szCs w:val="28"/>
        </w:rPr>
      </w:pPr>
      <w:r w:rsidRPr="007174C9">
        <w:rPr>
          <w:rFonts w:ascii="仿宋" w:eastAsia="仿宋" w:hAnsi="仿宋" w:cs="仿宋" w:hint="eastAsia"/>
          <w:sz w:val="28"/>
          <w:szCs w:val="28"/>
        </w:rPr>
        <w:t>(5)广西玉林技师学院办学点40人，地址：玉林市人民东路东155号</w:t>
      </w:r>
    </w:p>
    <w:p w14:paraId="47B32B06" w14:textId="022BE241" w:rsidR="007174C9" w:rsidRPr="007174C9" w:rsidRDefault="007174C9" w:rsidP="00205327">
      <w:pPr>
        <w:snapToGrid w:val="0"/>
        <w:spacing w:line="276"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sidRPr="007174C9">
        <w:rPr>
          <w:rFonts w:ascii="仿宋" w:eastAsia="仿宋" w:hAnsi="仿宋" w:cs="仿宋" w:hint="eastAsia"/>
          <w:sz w:val="28"/>
          <w:szCs w:val="28"/>
        </w:rPr>
        <w:t>服务内容：</w:t>
      </w:r>
    </w:p>
    <w:tbl>
      <w:tblPr>
        <w:tblW w:w="9513" w:type="dxa"/>
        <w:tblInd w:w="93" w:type="dxa"/>
        <w:tblLayout w:type="fixed"/>
        <w:tblLook w:val="04A0" w:firstRow="1" w:lastRow="0" w:firstColumn="1" w:lastColumn="0" w:noHBand="0" w:noVBand="1"/>
      </w:tblPr>
      <w:tblGrid>
        <w:gridCol w:w="656"/>
        <w:gridCol w:w="1510"/>
        <w:gridCol w:w="4370"/>
        <w:gridCol w:w="567"/>
        <w:gridCol w:w="425"/>
        <w:gridCol w:w="851"/>
        <w:gridCol w:w="1134"/>
      </w:tblGrid>
      <w:tr w:rsidR="00960785" w14:paraId="208F3C97" w14:textId="77777777">
        <w:trPr>
          <w:trHeight w:val="710"/>
          <w:tblHead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25FCF"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序号</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6E8C"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货物（服务、工程）名称</w:t>
            </w:r>
          </w:p>
        </w:tc>
        <w:tc>
          <w:tcPr>
            <w:tcW w:w="4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7F5B4"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规格型号</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9FC8B"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数量</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A279A"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273E"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单价（元）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46FBB" w14:textId="77777777" w:rsidR="00960785" w:rsidRDefault="00000000" w:rsidP="00205327">
            <w:pPr>
              <w:widowControl/>
              <w:spacing w:line="276" w:lineRule="auto"/>
              <w:jc w:val="center"/>
              <w:textAlignment w:val="center"/>
              <w:rPr>
                <w:rFonts w:ascii="仿宋" w:eastAsia="仿宋" w:hAnsi="仿宋" w:cs="宋体"/>
                <w:b/>
                <w:bCs/>
                <w:color w:val="000000"/>
                <w:sz w:val="22"/>
              </w:rPr>
            </w:pPr>
            <w:r>
              <w:rPr>
                <w:rFonts w:ascii="仿宋" w:eastAsia="仿宋" w:hAnsi="仿宋" w:cs="宋体" w:hint="eastAsia"/>
                <w:b/>
                <w:bCs/>
                <w:color w:val="000000"/>
                <w:kern w:val="0"/>
                <w:sz w:val="22"/>
                <w:lang w:bidi="ar"/>
              </w:rPr>
              <w:t>金额合计（元）</w:t>
            </w:r>
          </w:p>
        </w:tc>
      </w:tr>
      <w:tr w:rsidR="00960785" w14:paraId="258A898F" w14:textId="77777777">
        <w:trPr>
          <w:trHeight w:val="1041"/>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36D0"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87C1"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color w:val="000000"/>
                <w:sz w:val="22"/>
              </w:rPr>
              <w:t>综合防控一体机租赁</w:t>
            </w:r>
          </w:p>
        </w:tc>
        <w:tc>
          <w:tcPr>
            <w:tcW w:w="4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C7D1"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1、集成人脸识别、身份核验、体温实时监测、健康</w:t>
            </w:r>
            <w:proofErr w:type="gramStart"/>
            <w:r>
              <w:rPr>
                <w:rFonts w:ascii="仿宋" w:eastAsia="仿宋" w:hAnsi="仿宋" w:hint="eastAsia"/>
                <w:sz w:val="22"/>
              </w:rPr>
              <w:t>码展示</w:t>
            </w:r>
            <w:proofErr w:type="gramEnd"/>
            <w:r>
              <w:rPr>
                <w:rFonts w:ascii="仿宋" w:eastAsia="仿宋" w:hAnsi="仿宋" w:hint="eastAsia"/>
                <w:sz w:val="22"/>
              </w:rPr>
              <w:t>功能为一体；</w:t>
            </w:r>
          </w:p>
          <w:p w14:paraId="09514218"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2、硬件须集成补光灯、二代身份证读卡器、红绿双色指示灯、1080P高清摄像头、测温模块，支持无线网络与有线网络连接方</w:t>
            </w:r>
            <w:r>
              <w:rPr>
                <w:rFonts w:ascii="仿宋" w:eastAsia="仿宋" w:hAnsi="仿宋" w:hint="eastAsia"/>
                <w:sz w:val="22"/>
              </w:rPr>
              <w:lastRenderedPageBreak/>
              <w:t>式。体积轻巧，支持桌面与支架两种部署方式；</w:t>
            </w:r>
          </w:p>
          <w:p w14:paraId="0D6149CB"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3、软件支持1：1、1：N、测温等多种模式，可在5秒内同时实现人脸识别、身份核验、体温监测、健康码、48小时核酸、行程</w:t>
            </w:r>
            <w:proofErr w:type="gramStart"/>
            <w:r>
              <w:rPr>
                <w:rFonts w:ascii="仿宋" w:eastAsia="仿宋" w:hAnsi="仿宋" w:hint="eastAsia"/>
                <w:sz w:val="22"/>
              </w:rPr>
              <w:t>码内容</w:t>
            </w:r>
            <w:proofErr w:type="gramEnd"/>
            <w:r>
              <w:rPr>
                <w:rFonts w:ascii="仿宋" w:eastAsia="仿宋" w:hAnsi="仿宋" w:hint="eastAsia"/>
                <w:sz w:val="22"/>
              </w:rPr>
              <w:t>的实时监测与比对，并声光显示比对结果。全部通过时亮绿灯，其中一项不通过时亮红灯。</w:t>
            </w:r>
          </w:p>
          <w:p w14:paraId="6858B7A0"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4、人脸识别精度、体温、身份证有效期、民族、性别、姓名的采集、设置与比对及新生报到签名确认、辅导员后台签字确定，支持人证、人照、混合等多种人脸比对模式。</w:t>
            </w:r>
          </w:p>
          <w:p w14:paraId="2E896EE3"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sz w:val="22"/>
              </w:rPr>
              <w:t>5、支持活体检测，支持打印机，支持健康码更新，支持实时比对流水上传。</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FB44F"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Theme="minorEastAsia" w:hAnsiTheme="minorEastAsia" w:hint="eastAsia"/>
                <w:color w:val="000000"/>
                <w:sz w:val="22"/>
              </w:rPr>
              <w:lastRenderedPageBreak/>
              <w:t>25</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51D3A"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Theme="minorEastAsia" w:hAnsiTheme="minorEastAsia" w:hint="eastAsia"/>
                <w:color w:val="000000"/>
                <w:sz w:val="22"/>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34CE" w14:textId="77777777" w:rsidR="00960785" w:rsidRDefault="00960785" w:rsidP="00205327">
            <w:pPr>
              <w:widowControl/>
              <w:spacing w:line="276" w:lineRule="auto"/>
              <w:jc w:val="center"/>
              <w:textAlignment w:val="center"/>
              <w:rPr>
                <w:rFonts w:ascii="仿宋" w:eastAsia="仿宋" w:hAnsi="仿宋"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98AB1" w14:textId="77777777" w:rsidR="00960785" w:rsidRDefault="00960785" w:rsidP="00205327">
            <w:pPr>
              <w:spacing w:line="276" w:lineRule="auto"/>
              <w:jc w:val="center"/>
              <w:rPr>
                <w:rFonts w:ascii="仿宋" w:eastAsia="仿宋" w:hAnsi="仿宋" w:cs="宋体"/>
                <w:color w:val="000000"/>
                <w:sz w:val="22"/>
              </w:rPr>
            </w:pPr>
          </w:p>
        </w:tc>
      </w:tr>
      <w:tr w:rsidR="00960785" w14:paraId="2400549D" w14:textId="77777777">
        <w:trPr>
          <w:trHeight w:val="51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03F2"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2</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04252"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color w:val="000000"/>
                <w:sz w:val="22"/>
              </w:rPr>
              <w:t>技术服务</w:t>
            </w:r>
          </w:p>
        </w:tc>
        <w:tc>
          <w:tcPr>
            <w:tcW w:w="4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EA62"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1、提供现场技术支持服务，主要技术人员持有《网络数据安全培训合格证》。</w:t>
            </w:r>
          </w:p>
          <w:p w14:paraId="4778539E"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2、对已比对人的现场照片、比对时间、未比对人数，已比对率等信息进行统计。</w:t>
            </w:r>
          </w:p>
          <w:p w14:paraId="6E2CC012"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3、提供高性能服务器，保证系统与数据采集过程稳定可靠，满足大规模学生报到的需要。</w:t>
            </w:r>
          </w:p>
          <w:p w14:paraId="45D1640E"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sz w:val="22"/>
              </w:rPr>
              <w:t>4、对采用临时身份证或无身份证的学生，对接公安部平台，进行实时信息比对查询与核验。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84E1F"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Theme="minorEastAsia" w:hAnsiTheme="minorEastAsia" w:hint="eastAsia"/>
                <w:color w:val="000000"/>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B75B"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Theme="minorEastAsia" w:hAnsiTheme="minorEastAsia" w:hint="eastAsia"/>
                <w:color w:val="000000"/>
                <w:sz w:val="22"/>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EB76" w14:textId="77777777" w:rsidR="00960785" w:rsidRDefault="00960785" w:rsidP="00205327">
            <w:pPr>
              <w:widowControl/>
              <w:spacing w:line="276" w:lineRule="auto"/>
              <w:jc w:val="center"/>
              <w:textAlignment w:val="center"/>
              <w:rPr>
                <w:rFonts w:ascii="仿宋" w:eastAsia="仿宋" w:hAnsi="仿宋"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D9B1" w14:textId="77777777" w:rsidR="00960785" w:rsidRDefault="00960785" w:rsidP="00205327">
            <w:pPr>
              <w:spacing w:line="276" w:lineRule="auto"/>
              <w:jc w:val="center"/>
              <w:rPr>
                <w:rFonts w:ascii="仿宋" w:eastAsia="仿宋" w:hAnsi="仿宋" w:cs="宋体"/>
                <w:color w:val="000000"/>
                <w:sz w:val="22"/>
              </w:rPr>
            </w:pPr>
          </w:p>
        </w:tc>
      </w:tr>
      <w:tr w:rsidR="00960785" w14:paraId="5AAC56CE" w14:textId="77777777">
        <w:trPr>
          <w:trHeight w:val="51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C16F"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3</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B9439"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color w:val="000000"/>
                <w:sz w:val="22"/>
              </w:rPr>
              <w:t>软件开发</w:t>
            </w:r>
          </w:p>
        </w:tc>
        <w:tc>
          <w:tcPr>
            <w:tcW w:w="4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1FA78"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1、与广西政务服务平台相对接，提前对新生进行14天的实时筛查与防控，发现健康“黄码”、“红码”、“未注册”的新生，并及时进行通知新生遵守疫情防控管理规定，杜绝不符合健康条件的新生到校报到。</w:t>
            </w:r>
          </w:p>
          <w:p w14:paraId="10428412"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2、疫情报备系统，可与大数据对接，考生上传“两码一酸”后可在综合防控一体机上应用。</w:t>
            </w:r>
          </w:p>
          <w:p w14:paraId="62D15C09"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3、针对部分身份证丢失、临时身份证、改名、</w:t>
            </w:r>
            <w:proofErr w:type="gramStart"/>
            <w:r>
              <w:rPr>
                <w:rFonts w:ascii="仿宋" w:eastAsia="仿宋" w:hAnsi="仿宋" w:hint="eastAsia"/>
                <w:sz w:val="22"/>
              </w:rPr>
              <w:t>改民族</w:t>
            </w:r>
            <w:proofErr w:type="gramEnd"/>
            <w:r>
              <w:rPr>
                <w:rFonts w:ascii="仿宋" w:eastAsia="仿宋" w:hAnsi="仿宋" w:hint="eastAsia"/>
                <w:sz w:val="22"/>
              </w:rPr>
              <w:t>或身份证照片不规范的学生，可以通过人工核查系统现场进行人工核验，并补全相关信息。</w:t>
            </w:r>
          </w:p>
          <w:p w14:paraId="14C4B9A3"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sz w:val="22"/>
              </w:rPr>
              <w:t>4、本系统采集到的数据与院校的相关管理</w:t>
            </w:r>
            <w:r>
              <w:rPr>
                <w:rFonts w:ascii="仿宋" w:eastAsia="仿宋" w:hAnsi="仿宋" w:hint="eastAsia"/>
                <w:sz w:val="22"/>
              </w:rPr>
              <w:lastRenderedPageBreak/>
              <w:t>系统进行对接。</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5910"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hint="eastAsia"/>
                <w:color w:val="000000"/>
                <w:sz w:val="22"/>
              </w:rPr>
              <w:lastRenderedPageBreak/>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9328"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hint="eastAsia"/>
                <w:color w:val="000000"/>
                <w:sz w:val="22"/>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1EED" w14:textId="77777777" w:rsidR="00960785" w:rsidRDefault="00960785" w:rsidP="00205327">
            <w:pPr>
              <w:widowControl/>
              <w:spacing w:line="276" w:lineRule="auto"/>
              <w:jc w:val="center"/>
              <w:textAlignment w:val="center"/>
              <w:rPr>
                <w:rFonts w:ascii="仿宋" w:eastAsia="仿宋" w:hAnsi="仿宋"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8492E" w14:textId="77777777" w:rsidR="00960785" w:rsidRDefault="00960785" w:rsidP="00205327">
            <w:pPr>
              <w:spacing w:line="276" w:lineRule="auto"/>
              <w:jc w:val="center"/>
              <w:rPr>
                <w:rFonts w:ascii="仿宋" w:eastAsia="仿宋" w:hAnsi="仿宋" w:cs="宋体"/>
                <w:color w:val="000000"/>
                <w:sz w:val="22"/>
              </w:rPr>
            </w:pPr>
          </w:p>
        </w:tc>
      </w:tr>
      <w:tr w:rsidR="00960785" w14:paraId="1EDE0E6C" w14:textId="77777777">
        <w:trPr>
          <w:trHeight w:val="51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08A9" w14:textId="77777777" w:rsidR="00960785" w:rsidRDefault="00000000" w:rsidP="00205327">
            <w:pPr>
              <w:widowControl/>
              <w:spacing w:line="276" w:lineRule="auto"/>
              <w:jc w:val="center"/>
              <w:textAlignment w:val="center"/>
              <w:rPr>
                <w:rFonts w:ascii="仿宋" w:eastAsia="仿宋" w:hAnsi="仿宋" w:cs="宋体"/>
                <w:color w:val="000000"/>
                <w:kern w:val="0"/>
                <w:sz w:val="22"/>
                <w:lang w:bidi="ar"/>
              </w:rPr>
            </w:pPr>
            <w:r>
              <w:rPr>
                <w:rFonts w:ascii="仿宋" w:eastAsia="仿宋" w:hAnsi="仿宋" w:cs="宋体" w:hint="eastAsia"/>
                <w:color w:val="000000"/>
                <w:kern w:val="0"/>
                <w:sz w:val="22"/>
                <w:lang w:bidi="ar"/>
              </w:rPr>
              <w:t>4</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7FD7C"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color w:val="000000"/>
                <w:sz w:val="22"/>
              </w:rPr>
              <w:t>现场照片采集</w:t>
            </w:r>
          </w:p>
        </w:tc>
        <w:tc>
          <w:tcPr>
            <w:tcW w:w="4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3977"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电子照片按</w:t>
            </w:r>
            <w:proofErr w:type="gramStart"/>
            <w:r>
              <w:rPr>
                <w:rFonts w:ascii="仿宋" w:eastAsia="仿宋" w:hAnsi="仿宋" w:hint="eastAsia"/>
                <w:sz w:val="22"/>
              </w:rPr>
              <w:t>学信网标准</w:t>
            </w:r>
            <w:proofErr w:type="gramEnd"/>
            <w:r>
              <w:rPr>
                <w:rFonts w:ascii="仿宋" w:eastAsia="仿宋" w:hAnsi="仿宋" w:hint="eastAsia"/>
                <w:sz w:val="22"/>
              </w:rPr>
              <w:t>：</w:t>
            </w:r>
          </w:p>
          <w:p w14:paraId="0DBD65A5"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1、免冠正面蓝底电子照片，规格：320像素(高)×240像素(宽)，或图像尺寸为48毫米(高)×33毫米(宽)；</w:t>
            </w:r>
          </w:p>
          <w:p w14:paraId="35F1357F" w14:textId="77777777" w:rsidR="00960785" w:rsidRDefault="00000000" w:rsidP="00205327">
            <w:pPr>
              <w:spacing w:line="276" w:lineRule="auto"/>
              <w:ind w:firstLineChars="200" w:firstLine="440"/>
              <w:rPr>
                <w:rFonts w:ascii="仿宋" w:eastAsia="仿宋" w:hAnsi="仿宋"/>
                <w:sz w:val="22"/>
              </w:rPr>
            </w:pPr>
            <w:r>
              <w:rPr>
                <w:rFonts w:ascii="仿宋" w:eastAsia="仿宋" w:hAnsi="仿宋" w:hint="eastAsia"/>
                <w:sz w:val="22"/>
              </w:rPr>
              <w:t>2、图像文件大小不超过50kB，JPG格式；</w:t>
            </w:r>
          </w:p>
          <w:p w14:paraId="019E18B7" w14:textId="77777777" w:rsidR="00960785" w:rsidRDefault="00000000" w:rsidP="00205327">
            <w:pPr>
              <w:widowControl/>
              <w:spacing w:line="276" w:lineRule="auto"/>
              <w:jc w:val="left"/>
              <w:textAlignment w:val="center"/>
              <w:rPr>
                <w:rFonts w:ascii="仿宋" w:eastAsia="仿宋" w:hAnsi="仿宋" w:cs="宋体"/>
                <w:color w:val="000000"/>
                <w:sz w:val="22"/>
              </w:rPr>
            </w:pPr>
            <w:r>
              <w:rPr>
                <w:rFonts w:ascii="仿宋" w:eastAsia="仿宋" w:hAnsi="仿宋" w:hint="eastAsia"/>
                <w:sz w:val="22"/>
              </w:rPr>
              <w:t>3、身份证号命名。</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D436"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hint="eastAsia"/>
                <w:color w:val="000000"/>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7EA24" w14:textId="77777777" w:rsidR="00960785" w:rsidRDefault="00000000" w:rsidP="00205327">
            <w:pPr>
              <w:widowControl/>
              <w:spacing w:line="276" w:lineRule="auto"/>
              <w:jc w:val="center"/>
              <w:textAlignment w:val="center"/>
              <w:rPr>
                <w:rFonts w:ascii="仿宋" w:eastAsia="仿宋" w:hAnsi="仿宋" w:cs="宋体"/>
                <w:color w:val="000000"/>
                <w:sz w:val="22"/>
              </w:rPr>
            </w:pPr>
            <w:r>
              <w:rPr>
                <w:rFonts w:ascii="仿宋" w:eastAsia="仿宋" w:hAnsi="仿宋" w:hint="eastAsia"/>
                <w:color w:val="000000"/>
                <w:sz w:val="22"/>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5A35" w14:textId="77777777" w:rsidR="00960785" w:rsidRDefault="00960785" w:rsidP="00205327">
            <w:pPr>
              <w:widowControl/>
              <w:spacing w:line="276" w:lineRule="auto"/>
              <w:jc w:val="center"/>
              <w:textAlignment w:val="center"/>
              <w:rPr>
                <w:rFonts w:ascii="仿宋" w:eastAsia="仿宋" w:hAnsi="仿宋"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76D6F" w14:textId="77777777" w:rsidR="00960785" w:rsidRDefault="00960785" w:rsidP="00205327">
            <w:pPr>
              <w:spacing w:line="276" w:lineRule="auto"/>
              <w:jc w:val="center"/>
              <w:rPr>
                <w:rFonts w:ascii="仿宋" w:eastAsia="仿宋" w:hAnsi="仿宋" w:cs="宋体"/>
                <w:color w:val="000000"/>
                <w:sz w:val="22"/>
              </w:rPr>
            </w:pPr>
          </w:p>
        </w:tc>
      </w:tr>
    </w:tbl>
    <w:p w14:paraId="47DC0992" w14:textId="77777777" w:rsidR="00960785" w:rsidRDefault="00960785" w:rsidP="00205327">
      <w:pPr>
        <w:pStyle w:val="a0"/>
        <w:spacing w:line="276" w:lineRule="auto"/>
        <w:ind w:firstLineChars="0" w:firstLine="0"/>
        <w:rPr>
          <w:rFonts w:ascii="仿宋" w:eastAsia="仿宋" w:hAnsi="仿宋"/>
        </w:rPr>
      </w:pPr>
    </w:p>
    <w:p w14:paraId="5F67F2B0" w14:textId="77777777" w:rsidR="00960785" w:rsidRDefault="00000000" w:rsidP="00205327">
      <w:pPr>
        <w:snapToGrid w:val="0"/>
        <w:spacing w:line="276" w:lineRule="auto"/>
        <w:ind w:firstLineChars="200" w:firstLine="562"/>
        <w:rPr>
          <w:rFonts w:ascii="仿宋" w:eastAsia="仿宋" w:hAnsi="仿宋"/>
          <w:sz w:val="28"/>
          <w:szCs w:val="28"/>
        </w:rPr>
      </w:pPr>
      <w:r>
        <w:rPr>
          <w:rFonts w:ascii="仿宋" w:eastAsia="仿宋" w:hAnsi="仿宋" w:hint="eastAsia"/>
          <w:b/>
          <w:sz w:val="28"/>
          <w:szCs w:val="28"/>
        </w:rPr>
        <w:t>第二条　质量保证</w:t>
      </w:r>
    </w:p>
    <w:p w14:paraId="31D6432C" w14:textId="77777777" w:rsidR="00960785" w:rsidRDefault="00000000" w:rsidP="00205327">
      <w:pPr>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乙方所提供的服务参数必须与招投标文件相一致。</w:t>
      </w:r>
    </w:p>
    <w:p w14:paraId="03DBC4C8" w14:textId="77777777" w:rsidR="00960785" w:rsidRDefault="00000000" w:rsidP="00205327">
      <w:pPr>
        <w:snapToGrid w:val="0"/>
        <w:spacing w:line="276" w:lineRule="auto"/>
        <w:ind w:firstLineChars="200" w:firstLine="562"/>
        <w:rPr>
          <w:rFonts w:ascii="仿宋" w:eastAsia="仿宋" w:hAnsi="仿宋"/>
          <w:sz w:val="28"/>
          <w:szCs w:val="28"/>
        </w:rPr>
      </w:pPr>
      <w:r>
        <w:rPr>
          <w:rFonts w:ascii="仿宋" w:eastAsia="仿宋" w:hAnsi="仿宋" w:hint="eastAsia"/>
          <w:b/>
          <w:sz w:val="28"/>
          <w:szCs w:val="28"/>
        </w:rPr>
        <w:t>第三条　权利保证</w:t>
      </w:r>
    </w:p>
    <w:p w14:paraId="2118DF4F" w14:textId="77777777" w:rsidR="00960785" w:rsidRDefault="00000000" w:rsidP="00205327">
      <w:pPr>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1、乙方应保证所提供服务在使用时不会侵犯任何第三方的专利权或其他权利。</w:t>
      </w:r>
    </w:p>
    <w:p w14:paraId="523BAB72" w14:textId="77777777" w:rsidR="00960785" w:rsidRDefault="00000000" w:rsidP="00205327">
      <w:pPr>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2、乙方应按采购文件规定的时间向甲方提供服务的有关技术资料。</w:t>
      </w:r>
    </w:p>
    <w:p w14:paraId="562D14C5" w14:textId="77777777" w:rsidR="00960785" w:rsidRDefault="00000000" w:rsidP="00205327">
      <w:pPr>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3、乙方保证所交付的货物的所有权完全属于</w:t>
      </w:r>
      <w:proofErr w:type="gramStart"/>
      <w:r>
        <w:rPr>
          <w:rFonts w:ascii="仿宋" w:eastAsia="仿宋" w:hAnsi="仿宋" w:hint="eastAsia"/>
          <w:sz w:val="28"/>
          <w:szCs w:val="28"/>
        </w:rPr>
        <w:t>乙方且</w:t>
      </w:r>
      <w:proofErr w:type="gramEnd"/>
      <w:r>
        <w:rPr>
          <w:rFonts w:ascii="仿宋" w:eastAsia="仿宋" w:hAnsi="仿宋" w:hint="eastAsia"/>
          <w:sz w:val="28"/>
          <w:szCs w:val="28"/>
        </w:rPr>
        <w:t>无任何抵押、质押、查封等产权瑕疵。</w:t>
      </w:r>
    </w:p>
    <w:p w14:paraId="1A82BA09" w14:textId="77777777" w:rsidR="00960785" w:rsidRDefault="00000000" w:rsidP="00205327">
      <w:pPr>
        <w:numPr>
          <w:ilvl w:val="255"/>
          <w:numId w:val="0"/>
        </w:numPr>
        <w:spacing w:line="276" w:lineRule="auto"/>
        <w:ind w:firstLineChars="200" w:firstLine="562"/>
        <w:rPr>
          <w:rFonts w:ascii="仿宋" w:eastAsia="仿宋" w:hAnsi="仿宋"/>
          <w:sz w:val="28"/>
          <w:szCs w:val="28"/>
        </w:rPr>
      </w:pPr>
      <w:r>
        <w:rPr>
          <w:rFonts w:ascii="仿宋" w:eastAsia="仿宋" w:hAnsi="仿宋" w:hint="eastAsia"/>
          <w:b/>
          <w:sz w:val="28"/>
          <w:szCs w:val="28"/>
        </w:rPr>
        <w:t>第四条　服务地址、期限及付款方式</w:t>
      </w:r>
    </w:p>
    <w:p w14:paraId="2427B766" w14:textId="77777777" w:rsidR="00960785" w:rsidRDefault="00000000" w:rsidP="00205327">
      <w:pPr>
        <w:pStyle w:val="a0"/>
        <w:spacing w:line="276" w:lineRule="auto"/>
        <w:ind w:firstLineChars="200" w:firstLine="560"/>
        <w:rPr>
          <w:rFonts w:ascii="仿宋" w:eastAsia="仿宋" w:hAnsi="仿宋"/>
          <w:sz w:val="28"/>
          <w:szCs w:val="28"/>
        </w:rPr>
      </w:pPr>
      <w:r>
        <w:rPr>
          <w:rFonts w:ascii="仿宋" w:eastAsia="仿宋" w:hAnsi="仿宋" w:hint="eastAsia"/>
          <w:sz w:val="28"/>
          <w:szCs w:val="28"/>
        </w:rPr>
        <w:t>1、服务地点：广西交通职业技术学院园湖校区（南宁市园湖北路12号）、昆仑校区（南宁市昆仑大道1258号）、相思湖校区（南宁市大学东路109号）。五个联合办学点：广西城市建设学校（桂林市环城南二路121号），南宁市第一职业技术学校（南宁市五</w:t>
      </w:r>
      <w:proofErr w:type="gramStart"/>
      <w:r>
        <w:rPr>
          <w:rFonts w:ascii="仿宋" w:eastAsia="仿宋" w:hAnsi="仿宋" w:hint="eastAsia"/>
          <w:sz w:val="28"/>
          <w:szCs w:val="28"/>
        </w:rPr>
        <w:t>象</w:t>
      </w:r>
      <w:proofErr w:type="gramEnd"/>
      <w:r>
        <w:rPr>
          <w:rFonts w:ascii="仿宋" w:eastAsia="仿宋" w:hAnsi="仿宋" w:hint="eastAsia"/>
          <w:sz w:val="28"/>
          <w:szCs w:val="28"/>
        </w:rPr>
        <w:t>大道东段152号），南宁市第四职业技术学校（南宁市竹溪大道28号），玉林技师学院（玉林市玉州区人民东路东155号），广西交通技师学院（南宁市</w:t>
      </w:r>
      <w:proofErr w:type="gramStart"/>
      <w:r>
        <w:rPr>
          <w:rFonts w:ascii="仿宋" w:eastAsia="仿宋" w:hAnsi="仿宋" w:hint="eastAsia"/>
          <w:sz w:val="28"/>
          <w:szCs w:val="28"/>
        </w:rPr>
        <w:t>邕</w:t>
      </w:r>
      <w:proofErr w:type="gramEnd"/>
      <w:r>
        <w:rPr>
          <w:rFonts w:ascii="仿宋" w:eastAsia="仿宋" w:hAnsi="仿宋" w:hint="eastAsia"/>
          <w:sz w:val="28"/>
          <w:szCs w:val="28"/>
        </w:rPr>
        <w:t xml:space="preserve">武路9号） </w:t>
      </w:r>
    </w:p>
    <w:p w14:paraId="22B38C83" w14:textId="77777777" w:rsidR="00960785" w:rsidRDefault="00000000" w:rsidP="00205327">
      <w:pPr>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2、服务期限：2022年9月10日-12月31日</w:t>
      </w:r>
    </w:p>
    <w:p w14:paraId="0778A00B" w14:textId="77777777" w:rsidR="00960785" w:rsidRDefault="00000000" w:rsidP="00205327">
      <w:pPr>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3、付款方式：本项目无预付款，服务完成并经采购方验收合格，之后15个工作日内一次支付，由中标供货商提供正式发票后，款项以转账方式付清。</w:t>
      </w:r>
    </w:p>
    <w:p w14:paraId="39A08A08" w14:textId="77777777" w:rsidR="00960785" w:rsidRDefault="00000000" w:rsidP="00205327">
      <w:pPr>
        <w:snapToGrid w:val="0"/>
        <w:spacing w:line="276" w:lineRule="auto"/>
        <w:ind w:left="-61" w:firstLine="514"/>
        <w:rPr>
          <w:rFonts w:ascii="仿宋" w:eastAsia="仿宋" w:hAnsi="仿宋"/>
          <w:b/>
          <w:sz w:val="28"/>
          <w:szCs w:val="28"/>
        </w:rPr>
      </w:pPr>
      <w:r>
        <w:rPr>
          <w:rFonts w:ascii="仿宋" w:eastAsia="仿宋" w:hAnsi="仿宋" w:hint="eastAsia"/>
          <w:b/>
          <w:sz w:val="28"/>
          <w:szCs w:val="28"/>
        </w:rPr>
        <w:t>第五条  税费</w:t>
      </w:r>
    </w:p>
    <w:p w14:paraId="5EDC2C0C" w14:textId="77777777" w:rsidR="00960785" w:rsidRDefault="00000000" w:rsidP="00205327">
      <w:pPr>
        <w:snapToGrid w:val="0"/>
        <w:spacing w:line="276" w:lineRule="auto"/>
        <w:ind w:left="-61" w:firstLine="514"/>
        <w:rPr>
          <w:rFonts w:ascii="仿宋" w:eastAsia="仿宋" w:hAnsi="仿宋"/>
          <w:sz w:val="28"/>
          <w:szCs w:val="28"/>
        </w:rPr>
      </w:pPr>
      <w:r>
        <w:rPr>
          <w:rFonts w:ascii="仿宋" w:eastAsia="仿宋" w:hAnsi="仿宋" w:hint="eastAsia"/>
          <w:sz w:val="28"/>
          <w:szCs w:val="28"/>
        </w:rPr>
        <w:t>本合同执行中相关的一切税费均由乙方负担。</w:t>
      </w:r>
    </w:p>
    <w:p w14:paraId="3F92ABB7" w14:textId="77777777" w:rsidR="00960785" w:rsidRDefault="00000000" w:rsidP="00205327">
      <w:pPr>
        <w:snapToGrid w:val="0"/>
        <w:spacing w:line="276" w:lineRule="auto"/>
        <w:ind w:firstLineChars="200" w:firstLine="562"/>
        <w:rPr>
          <w:rFonts w:ascii="仿宋" w:eastAsia="仿宋" w:hAnsi="仿宋"/>
          <w:b/>
          <w:sz w:val="28"/>
          <w:szCs w:val="28"/>
        </w:rPr>
      </w:pPr>
      <w:r>
        <w:rPr>
          <w:rFonts w:ascii="仿宋" w:eastAsia="仿宋" w:hAnsi="仿宋" w:hint="eastAsia"/>
          <w:b/>
          <w:sz w:val="28"/>
          <w:szCs w:val="28"/>
        </w:rPr>
        <w:t>第六条  不可抗力事件处理</w:t>
      </w:r>
    </w:p>
    <w:p w14:paraId="78D25FC6" w14:textId="77777777" w:rsidR="00960785" w:rsidRDefault="00000000" w:rsidP="00205327">
      <w:pPr>
        <w:pStyle w:val="a6"/>
        <w:snapToGrid w:val="0"/>
        <w:spacing w:line="276"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在合同有效期内，任何一方因不可抗力事件导致不能履行合同，则合同履行期可延长，其延长期与不可抗力影响期相同。</w:t>
      </w:r>
    </w:p>
    <w:p w14:paraId="39B11608" w14:textId="77777777" w:rsidR="00960785" w:rsidRDefault="00000000" w:rsidP="00205327">
      <w:pPr>
        <w:snapToGrid w:val="0"/>
        <w:spacing w:line="276" w:lineRule="auto"/>
        <w:ind w:firstLineChars="200" w:firstLine="562"/>
        <w:rPr>
          <w:rFonts w:ascii="仿宋" w:eastAsia="仿宋" w:hAnsi="仿宋"/>
          <w:sz w:val="28"/>
          <w:szCs w:val="28"/>
        </w:rPr>
      </w:pPr>
      <w:r>
        <w:rPr>
          <w:rFonts w:ascii="仿宋" w:eastAsia="仿宋" w:hAnsi="仿宋" w:hint="eastAsia"/>
          <w:b/>
          <w:sz w:val="28"/>
          <w:szCs w:val="28"/>
        </w:rPr>
        <w:t>第七条  合同争议解决</w:t>
      </w:r>
    </w:p>
    <w:p w14:paraId="59A70859" w14:textId="77777777" w:rsidR="00960785" w:rsidRDefault="00000000" w:rsidP="00205327">
      <w:pPr>
        <w:snapToGrid w:val="0"/>
        <w:spacing w:line="276" w:lineRule="auto"/>
        <w:ind w:firstLineChars="200" w:firstLine="560"/>
        <w:rPr>
          <w:rFonts w:ascii="仿宋" w:eastAsia="仿宋" w:hAnsi="仿宋" w:cs="宋体"/>
          <w:sz w:val="28"/>
          <w:szCs w:val="28"/>
        </w:rPr>
      </w:pPr>
      <w:r>
        <w:rPr>
          <w:rFonts w:ascii="仿宋" w:eastAsia="仿宋" w:hAnsi="仿宋" w:cs="宋体" w:hint="eastAsia"/>
          <w:sz w:val="28"/>
          <w:szCs w:val="28"/>
        </w:rPr>
        <w:t>1、因履行本合同引起的或与本合同有关的争议，甲乙双方应首先通过友好协商解决，如果协商不能解决，可向甲方所在地人民法院提起诉讼。</w:t>
      </w:r>
    </w:p>
    <w:p w14:paraId="77F81732" w14:textId="77777777" w:rsidR="00960785" w:rsidRDefault="00000000" w:rsidP="00205327">
      <w:pPr>
        <w:snapToGrid w:val="0"/>
        <w:spacing w:line="276" w:lineRule="auto"/>
        <w:ind w:left="-61" w:firstLine="514"/>
        <w:rPr>
          <w:rFonts w:ascii="仿宋" w:eastAsia="仿宋" w:hAnsi="仿宋" w:cs="宋体"/>
          <w:sz w:val="28"/>
          <w:szCs w:val="28"/>
        </w:rPr>
      </w:pPr>
      <w:r>
        <w:rPr>
          <w:rFonts w:ascii="仿宋" w:eastAsia="仿宋" w:hAnsi="仿宋" w:cs="宋体" w:hint="eastAsia"/>
          <w:sz w:val="28"/>
          <w:szCs w:val="28"/>
        </w:rPr>
        <w:t>2、诉讼期间，本合同继续履行。</w:t>
      </w:r>
    </w:p>
    <w:p w14:paraId="039EC357" w14:textId="77777777" w:rsidR="00960785" w:rsidRDefault="00000000" w:rsidP="00205327">
      <w:pPr>
        <w:pStyle w:val="a6"/>
        <w:snapToGrid w:val="0"/>
        <w:spacing w:line="276" w:lineRule="auto"/>
        <w:ind w:firstLineChars="196" w:firstLine="551"/>
        <w:rPr>
          <w:rFonts w:ascii="仿宋" w:eastAsia="仿宋" w:hAnsi="仿宋"/>
          <w:b/>
          <w:kern w:val="2"/>
          <w:sz w:val="28"/>
          <w:szCs w:val="28"/>
        </w:rPr>
      </w:pPr>
      <w:r>
        <w:rPr>
          <w:rFonts w:ascii="仿宋" w:eastAsia="仿宋" w:hAnsi="仿宋" w:hint="eastAsia"/>
          <w:b/>
          <w:kern w:val="2"/>
          <w:sz w:val="28"/>
          <w:szCs w:val="28"/>
        </w:rPr>
        <w:t>第八条  合同生效及其它</w:t>
      </w:r>
    </w:p>
    <w:p w14:paraId="7CB8A2EA" w14:textId="77777777" w:rsidR="00960785" w:rsidRDefault="00000000" w:rsidP="00205327">
      <w:pPr>
        <w:pStyle w:val="a6"/>
        <w:snapToGrid w:val="0"/>
        <w:spacing w:line="276"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1.合同经双方法定代表人或被授权代表签字并加盖单位公章后生效。</w:t>
      </w:r>
    </w:p>
    <w:p w14:paraId="524EE1B2" w14:textId="77777777" w:rsidR="00960785" w:rsidRDefault="00000000" w:rsidP="00205327">
      <w:pPr>
        <w:pStyle w:val="a6"/>
        <w:snapToGrid w:val="0"/>
        <w:spacing w:line="276"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2.合同执行中涉及采购资金和采购内容修改或补充的，在法规范围内，须签书面补充协议方可作为主合同不可分割的一部分。</w:t>
      </w:r>
    </w:p>
    <w:p w14:paraId="373538B7" w14:textId="77777777" w:rsidR="00960785" w:rsidRDefault="00000000" w:rsidP="00205327">
      <w:pPr>
        <w:pStyle w:val="a6"/>
        <w:snapToGrid w:val="0"/>
        <w:spacing w:line="276" w:lineRule="auto"/>
        <w:ind w:leftChars="200" w:left="420"/>
        <w:rPr>
          <w:rFonts w:ascii="仿宋" w:eastAsia="仿宋" w:hAnsi="仿宋" w:cstheme="minorEastAsia"/>
          <w:sz w:val="28"/>
          <w:szCs w:val="28"/>
        </w:rPr>
      </w:pPr>
      <w:r>
        <w:rPr>
          <w:rFonts w:ascii="仿宋" w:eastAsia="仿宋" w:hAnsi="仿宋" w:cstheme="minorEastAsia" w:hint="eastAsia"/>
          <w:sz w:val="28"/>
          <w:szCs w:val="28"/>
        </w:rPr>
        <w:t>3.本合同未尽事宜，遵照《合同法》有关条文执行。</w:t>
      </w:r>
    </w:p>
    <w:p w14:paraId="0FCD9029" w14:textId="77777777" w:rsidR="00960785" w:rsidRDefault="00000000" w:rsidP="00205327">
      <w:pPr>
        <w:snapToGrid w:val="0"/>
        <w:spacing w:line="276" w:lineRule="auto"/>
        <w:ind w:firstLineChars="200" w:firstLine="562"/>
        <w:rPr>
          <w:rFonts w:ascii="仿宋" w:eastAsia="仿宋" w:hAnsi="仿宋"/>
          <w:b/>
          <w:sz w:val="28"/>
          <w:szCs w:val="28"/>
        </w:rPr>
      </w:pPr>
      <w:r>
        <w:rPr>
          <w:rFonts w:ascii="仿宋" w:eastAsia="仿宋" w:hAnsi="仿宋" w:hint="eastAsia"/>
          <w:b/>
          <w:sz w:val="28"/>
          <w:szCs w:val="28"/>
        </w:rPr>
        <w:t>第九条　合同的变更、终止与转让</w:t>
      </w:r>
    </w:p>
    <w:p w14:paraId="5C2039E7" w14:textId="77777777" w:rsidR="00960785" w:rsidRDefault="00000000" w:rsidP="00205327">
      <w:pPr>
        <w:snapToGrid w:val="0"/>
        <w:spacing w:line="276"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除《中华人民共和国政府采购法》第五十条规定的情形外，本合同一经签订，甲乙双方不得擅自变更、中止或终止。</w:t>
      </w:r>
    </w:p>
    <w:p w14:paraId="5B5A37EC" w14:textId="77777777" w:rsidR="00960785" w:rsidRDefault="00000000" w:rsidP="00205327">
      <w:pPr>
        <w:snapToGrid w:val="0"/>
        <w:spacing w:line="276" w:lineRule="auto"/>
        <w:ind w:firstLineChars="200" w:firstLine="562"/>
        <w:rPr>
          <w:rFonts w:ascii="仿宋" w:eastAsia="仿宋" w:hAnsi="仿宋"/>
          <w:b/>
          <w:sz w:val="28"/>
          <w:szCs w:val="28"/>
        </w:rPr>
      </w:pPr>
      <w:r>
        <w:rPr>
          <w:rFonts w:ascii="仿宋" w:eastAsia="仿宋" w:hAnsi="仿宋" w:hint="eastAsia"/>
          <w:b/>
          <w:sz w:val="28"/>
          <w:szCs w:val="28"/>
        </w:rPr>
        <w:t>第十条　签订本合同依据</w:t>
      </w:r>
    </w:p>
    <w:p w14:paraId="2F202CE1" w14:textId="77777777" w:rsidR="00960785" w:rsidRDefault="00000000" w:rsidP="00205327">
      <w:pPr>
        <w:pStyle w:val="a6"/>
        <w:snapToGrid w:val="0"/>
        <w:spacing w:line="276" w:lineRule="auto"/>
        <w:ind w:leftChars="200" w:left="420"/>
        <w:rPr>
          <w:rFonts w:ascii="仿宋" w:eastAsia="仿宋" w:hAnsi="仿宋" w:cstheme="minorEastAsia"/>
          <w:sz w:val="28"/>
          <w:szCs w:val="28"/>
        </w:rPr>
      </w:pPr>
      <w:r>
        <w:rPr>
          <w:rFonts w:ascii="仿宋" w:eastAsia="仿宋" w:hAnsi="仿宋" w:cstheme="minorEastAsia" w:hint="eastAsia"/>
          <w:sz w:val="28"/>
          <w:szCs w:val="28"/>
        </w:rPr>
        <w:t>1、项目采购文件；</w:t>
      </w:r>
    </w:p>
    <w:p w14:paraId="00668CE8" w14:textId="77777777" w:rsidR="00960785" w:rsidRDefault="00000000" w:rsidP="00205327">
      <w:pPr>
        <w:pStyle w:val="a6"/>
        <w:snapToGrid w:val="0"/>
        <w:spacing w:line="276" w:lineRule="auto"/>
        <w:ind w:leftChars="200" w:left="420"/>
        <w:rPr>
          <w:rFonts w:ascii="仿宋" w:eastAsia="仿宋" w:hAnsi="仿宋" w:cstheme="minorEastAsia"/>
          <w:sz w:val="28"/>
          <w:szCs w:val="28"/>
        </w:rPr>
      </w:pPr>
      <w:r>
        <w:rPr>
          <w:rFonts w:ascii="仿宋" w:eastAsia="仿宋" w:hAnsi="仿宋" w:cstheme="minorEastAsia" w:hint="eastAsia"/>
          <w:sz w:val="28"/>
          <w:szCs w:val="28"/>
        </w:rPr>
        <w:t>2、乙方提供的报价文件；</w:t>
      </w:r>
    </w:p>
    <w:p w14:paraId="79385999" w14:textId="77777777" w:rsidR="00960785" w:rsidRDefault="00000000" w:rsidP="00205327">
      <w:pPr>
        <w:pStyle w:val="a6"/>
        <w:snapToGrid w:val="0"/>
        <w:spacing w:line="276" w:lineRule="auto"/>
        <w:ind w:leftChars="200" w:left="420"/>
        <w:rPr>
          <w:rFonts w:ascii="仿宋" w:eastAsia="仿宋" w:hAnsi="仿宋" w:cstheme="minorEastAsia"/>
          <w:b/>
          <w:sz w:val="28"/>
          <w:szCs w:val="28"/>
        </w:rPr>
      </w:pPr>
      <w:r>
        <w:rPr>
          <w:rFonts w:ascii="仿宋" w:eastAsia="仿宋" w:hAnsi="仿宋" w:cstheme="minorEastAsia" w:hint="eastAsia"/>
          <w:sz w:val="28"/>
          <w:szCs w:val="28"/>
        </w:rPr>
        <w:t>3、成交公告书。</w:t>
      </w:r>
    </w:p>
    <w:p w14:paraId="01D24111" w14:textId="77777777" w:rsidR="00960785" w:rsidRDefault="00000000" w:rsidP="00205327">
      <w:pPr>
        <w:snapToGrid w:val="0"/>
        <w:spacing w:line="276" w:lineRule="auto"/>
        <w:ind w:firstLineChars="200" w:firstLine="562"/>
        <w:rPr>
          <w:rFonts w:ascii="仿宋" w:eastAsia="仿宋" w:hAnsi="仿宋" w:cs="宋体"/>
          <w:sz w:val="28"/>
          <w:szCs w:val="28"/>
        </w:rPr>
      </w:pPr>
      <w:r>
        <w:rPr>
          <w:rFonts w:ascii="仿宋" w:eastAsia="仿宋" w:hAnsi="仿宋" w:hint="eastAsia"/>
          <w:b/>
          <w:sz w:val="28"/>
          <w:szCs w:val="28"/>
        </w:rPr>
        <w:t xml:space="preserve">第十一条　</w:t>
      </w:r>
      <w:r>
        <w:rPr>
          <w:rFonts w:ascii="仿宋" w:eastAsia="仿宋" w:hAnsi="仿宋" w:cs="宋体" w:hint="eastAsia"/>
          <w:sz w:val="28"/>
          <w:szCs w:val="28"/>
        </w:rPr>
        <w:t>本合同一式伍份，具有同等法律效力，甲方肆份，乙方壹份，采购代理机构壹份。本合同甲乙双方签字盖章后生效。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960785" w14:paraId="02F660F9" w14:textId="77777777">
        <w:trPr>
          <w:cantSplit/>
          <w:trHeight w:val="1078"/>
        </w:trPr>
        <w:tc>
          <w:tcPr>
            <w:tcW w:w="4264" w:type="dxa"/>
            <w:vAlign w:val="center"/>
          </w:tcPr>
          <w:p w14:paraId="7A16DC0D"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 xml:space="preserve">甲方（章）           </w:t>
            </w:r>
          </w:p>
          <w:p w14:paraId="5A04C560" w14:textId="77777777" w:rsidR="00960785" w:rsidRDefault="00960785" w:rsidP="00205327">
            <w:pPr>
              <w:snapToGrid w:val="0"/>
              <w:spacing w:line="276" w:lineRule="auto"/>
              <w:rPr>
                <w:rFonts w:ascii="仿宋" w:eastAsia="仿宋" w:hAnsi="仿宋"/>
                <w:sz w:val="28"/>
                <w:szCs w:val="28"/>
              </w:rPr>
            </w:pPr>
          </w:p>
          <w:p w14:paraId="0414DEF4" w14:textId="77777777" w:rsidR="00960785" w:rsidRDefault="00000000" w:rsidP="00205327">
            <w:pPr>
              <w:snapToGrid w:val="0"/>
              <w:spacing w:line="276" w:lineRule="auto"/>
              <w:ind w:firstLineChars="450" w:firstLine="1260"/>
              <w:jc w:val="right"/>
              <w:rPr>
                <w:rFonts w:ascii="仿宋" w:eastAsia="仿宋" w:hAnsi="仿宋"/>
                <w:sz w:val="28"/>
                <w:szCs w:val="28"/>
              </w:rPr>
            </w:pPr>
            <w:r>
              <w:rPr>
                <w:rFonts w:ascii="仿宋" w:eastAsia="仿宋" w:hAnsi="仿宋" w:hint="eastAsia"/>
                <w:sz w:val="28"/>
                <w:szCs w:val="28"/>
              </w:rPr>
              <w:t>年   月   日</w:t>
            </w:r>
          </w:p>
        </w:tc>
        <w:tc>
          <w:tcPr>
            <w:tcW w:w="4264" w:type="dxa"/>
            <w:vAlign w:val="center"/>
          </w:tcPr>
          <w:p w14:paraId="2FB9D969"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 xml:space="preserve">乙方（章）              </w:t>
            </w:r>
          </w:p>
          <w:p w14:paraId="07D64F6A" w14:textId="77777777" w:rsidR="00960785" w:rsidRDefault="00960785" w:rsidP="00205327">
            <w:pPr>
              <w:snapToGrid w:val="0"/>
              <w:spacing w:line="276" w:lineRule="auto"/>
              <w:rPr>
                <w:rFonts w:ascii="仿宋" w:eastAsia="仿宋" w:hAnsi="仿宋"/>
                <w:sz w:val="28"/>
                <w:szCs w:val="28"/>
              </w:rPr>
            </w:pPr>
          </w:p>
          <w:p w14:paraId="43B146D0" w14:textId="77777777" w:rsidR="00960785" w:rsidRDefault="00000000" w:rsidP="00205327">
            <w:pPr>
              <w:snapToGrid w:val="0"/>
              <w:spacing w:line="276" w:lineRule="auto"/>
              <w:jc w:val="right"/>
              <w:rPr>
                <w:rFonts w:ascii="仿宋" w:eastAsia="仿宋" w:hAnsi="仿宋"/>
                <w:sz w:val="28"/>
                <w:szCs w:val="28"/>
              </w:rPr>
            </w:pPr>
            <w:r>
              <w:rPr>
                <w:rFonts w:ascii="仿宋" w:eastAsia="仿宋" w:hAnsi="仿宋" w:hint="eastAsia"/>
                <w:sz w:val="28"/>
                <w:szCs w:val="28"/>
              </w:rPr>
              <w:t xml:space="preserve"> 年   月   日</w:t>
            </w:r>
          </w:p>
        </w:tc>
      </w:tr>
      <w:tr w:rsidR="00960785" w14:paraId="35B5F9BC" w14:textId="77777777">
        <w:trPr>
          <w:cantSplit/>
          <w:trHeight w:val="397"/>
        </w:trPr>
        <w:tc>
          <w:tcPr>
            <w:tcW w:w="4264" w:type="dxa"/>
            <w:vAlign w:val="center"/>
          </w:tcPr>
          <w:p w14:paraId="40F2E7E7"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单位地址：南宁市昆仑大道1258号</w:t>
            </w:r>
          </w:p>
        </w:tc>
        <w:tc>
          <w:tcPr>
            <w:tcW w:w="4264" w:type="dxa"/>
            <w:vAlign w:val="center"/>
          </w:tcPr>
          <w:p w14:paraId="41B772A5"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单位地址：</w:t>
            </w:r>
          </w:p>
        </w:tc>
      </w:tr>
      <w:tr w:rsidR="00960785" w14:paraId="6ABE858E" w14:textId="77777777">
        <w:trPr>
          <w:cantSplit/>
          <w:trHeight w:val="397"/>
        </w:trPr>
        <w:tc>
          <w:tcPr>
            <w:tcW w:w="4264" w:type="dxa"/>
            <w:vAlign w:val="center"/>
          </w:tcPr>
          <w:p w14:paraId="213A7A50"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法定代表人：</w:t>
            </w:r>
          </w:p>
        </w:tc>
        <w:tc>
          <w:tcPr>
            <w:tcW w:w="4264" w:type="dxa"/>
            <w:vAlign w:val="center"/>
          </w:tcPr>
          <w:p w14:paraId="5B7320CF"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法定代表人：</w:t>
            </w:r>
          </w:p>
        </w:tc>
      </w:tr>
      <w:tr w:rsidR="00960785" w14:paraId="0B52C871" w14:textId="77777777">
        <w:trPr>
          <w:cantSplit/>
          <w:trHeight w:val="397"/>
        </w:trPr>
        <w:tc>
          <w:tcPr>
            <w:tcW w:w="4264" w:type="dxa"/>
            <w:vAlign w:val="center"/>
          </w:tcPr>
          <w:p w14:paraId="2A16890E"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委托代理人：</w:t>
            </w:r>
          </w:p>
        </w:tc>
        <w:tc>
          <w:tcPr>
            <w:tcW w:w="4264" w:type="dxa"/>
            <w:vAlign w:val="center"/>
          </w:tcPr>
          <w:p w14:paraId="3D94AA37"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委托代理人</w:t>
            </w:r>
          </w:p>
        </w:tc>
      </w:tr>
      <w:tr w:rsidR="00960785" w14:paraId="2BE4DDAA" w14:textId="77777777">
        <w:trPr>
          <w:cantSplit/>
          <w:trHeight w:val="397"/>
        </w:trPr>
        <w:tc>
          <w:tcPr>
            <w:tcW w:w="4264" w:type="dxa"/>
            <w:vAlign w:val="center"/>
          </w:tcPr>
          <w:p w14:paraId="01E03CF8"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电话：</w:t>
            </w:r>
          </w:p>
        </w:tc>
        <w:tc>
          <w:tcPr>
            <w:tcW w:w="4264" w:type="dxa"/>
            <w:vAlign w:val="center"/>
          </w:tcPr>
          <w:p w14:paraId="128FA620"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电话：</w:t>
            </w:r>
          </w:p>
        </w:tc>
      </w:tr>
      <w:tr w:rsidR="00960785" w14:paraId="4DA1C65A" w14:textId="77777777">
        <w:trPr>
          <w:cantSplit/>
          <w:trHeight w:val="397"/>
        </w:trPr>
        <w:tc>
          <w:tcPr>
            <w:tcW w:w="4264" w:type="dxa"/>
            <w:vAlign w:val="center"/>
          </w:tcPr>
          <w:p w14:paraId="06188A8B"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开户银行：</w:t>
            </w:r>
          </w:p>
        </w:tc>
        <w:tc>
          <w:tcPr>
            <w:tcW w:w="4264" w:type="dxa"/>
            <w:vAlign w:val="center"/>
          </w:tcPr>
          <w:p w14:paraId="7687AA6B"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开户银行：</w:t>
            </w:r>
          </w:p>
        </w:tc>
      </w:tr>
      <w:tr w:rsidR="00960785" w14:paraId="35DE4E33" w14:textId="77777777">
        <w:trPr>
          <w:cantSplit/>
          <w:trHeight w:val="397"/>
        </w:trPr>
        <w:tc>
          <w:tcPr>
            <w:tcW w:w="4264" w:type="dxa"/>
            <w:vAlign w:val="center"/>
          </w:tcPr>
          <w:p w14:paraId="524351B9"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账号：</w:t>
            </w:r>
          </w:p>
        </w:tc>
        <w:tc>
          <w:tcPr>
            <w:tcW w:w="4264" w:type="dxa"/>
            <w:vAlign w:val="center"/>
          </w:tcPr>
          <w:p w14:paraId="7BA2F6AD"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账号：</w:t>
            </w:r>
          </w:p>
        </w:tc>
      </w:tr>
      <w:tr w:rsidR="00960785" w14:paraId="7EA96D42" w14:textId="77777777">
        <w:trPr>
          <w:cantSplit/>
          <w:trHeight w:val="397"/>
        </w:trPr>
        <w:tc>
          <w:tcPr>
            <w:tcW w:w="4264" w:type="dxa"/>
            <w:vAlign w:val="center"/>
          </w:tcPr>
          <w:p w14:paraId="2C6ABE0A"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邮政编码：</w:t>
            </w:r>
          </w:p>
        </w:tc>
        <w:tc>
          <w:tcPr>
            <w:tcW w:w="4264" w:type="dxa"/>
            <w:vAlign w:val="center"/>
          </w:tcPr>
          <w:p w14:paraId="1609525D" w14:textId="77777777" w:rsidR="00960785" w:rsidRDefault="00000000" w:rsidP="00205327">
            <w:pPr>
              <w:snapToGrid w:val="0"/>
              <w:spacing w:line="276" w:lineRule="auto"/>
              <w:rPr>
                <w:rFonts w:ascii="仿宋" w:eastAsia="仿宋" w:hAnsi="仿宋"/>
                <w:sz w:val="28"/>
                <w:szCs w:val="28"/>
              </w:rPr>
            </w:pPr>
            <w:r>
              <w:rPr>
                <w:rFonts w:ascii="仿宋" w:eastAsia="仿宋" w:hAnsi="仿宋" w:hint="eastAsia"/>
                <w:sz w:val="28"/>
                <w:szCs w:val="28"/>
              </w:rPr>
              <w:t>邮政编码：</w:t>
            </w:r>
          </w:p>
        </w:tc>
      </w:tr>
    </w:tbl>
    <w:p w14:paraId="44D17503" w14:textId="77777777" w:rsidR="00960785" w:rsidRDefault="00960785" w:rsidP="00205327">
      <w:pPr>
        <w:spacing w:line="276" w:lineRule="auto"/>
        <w:rPr>
          <w:rFonts w:ascii="仿宋" w:eastAsia="仿宋" w:hAnsi="仿宋"/>
          <w:sz w:val="28"/>
          <w:szCs w:val="28"/>
        </w:rPr>
      </w:pPr>
    </w:p>
    <w:p w14:paraId="22094B2E" w14:textId="77777777" w:rsidR="00960785" w:rsidRDefault="00960785" w:rsidP="00205327">
      <w:pPr>
        <w:spacing w:line="276" w:lineRule="auto"/>
        <w:rPr>
          <w:rFonts w:ascii="仿宋" w:eastAsia="仿宋" w:hAnsi="仿宋" w:cs="仿宋" w:hint="eastAsia"/>
          <w:b/>
          <w:sz w:val="32"/>
          <w:szCs w:val="32"/>
        </w:rPr>
      </w:pPr>
    </w:p>
    <w:sectPr w:rsidR="00960785">
      <w:footerReference w:type="default" r:id="rId8"/>
      <w:pgSz w:w="11906" w:h="16838"/>
      <w:pgMar w:top="850" w:right="1134" w:bottom="850"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B062" w14:textId="77777777" w:rsidR="007512D7" w:rsidRDefault="007512D7">
      <w:r>
        <w:separator/>
      </w:r>
    </w:p>
  </w:endnote>
  <w:endnote w:type="continuationSeparator" w:id="0">
    <w:p w14:paraId="4F7343BF" w14:textId="77777777" w:rsidR="007512D7" w:rsidRDefault="0075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43C8" w14:textId="77777777" w:rsidR="00960785" w:rsidRDefault="00000000">
    <w:pPr>
      <w:pStyle w:val="a7"/>
    </w:pPr>
    <w:r>
      <w:rPr>
        <w:noProof/>
      </w:rPr>
      <mc:AlternateContent>
        <mc:Choice Requires="wps">
          <w:drawing>
            <wp:anchor distT="0" distB="0" distL="114300" distR="114300" simplePos="0" relativeHeight="251659264" behindDoc="0" locked="0" layoutInCell="1" allowOverlap="1" wp14:anchorId="78A26D54" wp14:editId="0A49338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474CF" w14:textId="77777777" w:rsidR="00960785"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A26D5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3474CF" w14:textId="77777777" w:rsidR="00960785"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39F0" w14:textId="77777777" w:rsidR="007512D7" w:rsidRDefault="007512D7">
      <w:r>
        <w:separator/>
      </w:r>
    </w:p>
  </w:footnote>
  <w:footnote w:type="continuationSeparator" w:id="0">
    <w:p w14:paraId="6F06163B" w14:textId="77777777" w:rsidR="007512D7" w:rsidRDefault="00751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3604A"/>
    <w:multiLevelType w:val="hybridMultilevel"/>
    <w:tmpl w:val="6A14D888"/>
    <w:lvl w:ilvl="0" w:tplc="CB6C6DA2">
      <w:start w:val="1"/>
      <w:numFmt w:val="japaneseCounting"/>
      <w:lvlText w:val="第%1条"/>
      <w:lvlJc w:val="left"/>
      <w:pPr>
        <w:ind w:left="1690" w:hanging="1128"/>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7731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YxN2FjZmQ0N2E1ZDg5ZjRkZWNiOWE0YzM1MTFkYWQifQ=="/>
  </w:docVars>
  <w:rsids>
    <w:rsidRoot w:val="49F0206F"/>
    <w:rsid w:val="000D52A7"/>
    <w:rsid w:val="00205327"/>
    <w:rsid w:val="00410C8C"/>
    <w:rsid w:val="00592BFD"/>
    <w:rsid w:val="006151E7"/>
    <w:rsid w:val="007174C9"/>
    <w:rsid w:val="007512D7"/>
    <w:rsid w:val="007622A6"/>
    <w:rsid w:val="00960785"/>
    <w:rsid w:val="009B73CC"/>
    <w:rsid w:val="061A70F1"/>
    <w:rsid w:val="07BA79AE"/>
    <w:rsid w:val="098C0D3B"/>
    <w:rsid w:val="09DD74E4"/>
    <w:rsid w:val="09E10586"/>
    <w:rsid w:val="0B85604A"/>
    <w:rsid w:val="111B7D85"/>
    <w:rsid w:val="134F6D97"/>
    <w:rsid w:val="15963066"/>
    <w:rsid w:val="190B17AA"/>
    <w:rsid w:val="19D23AC6"/>
    <w:rsid w:val="1D6151D1"/>
    <w:rsid w:val="1E5133F7"/>
    <w:rsid w:val="25D236E8"/>
    <w:rsid w:val="266E5594"/>
    <w:rsid w:val="28430C10"/>
    <w:rsid w:val="2B9F5183"/>
    <w:rsid w:val="31BD7F69"/>
    <w:rsid w:val="361F13D9"/>
    <w:rsid w:val="3DC77263"/>
    <w:rsid w:val="3FA3273F"/>
    <w:rsid w:val="41926FC8"/>
    <w:rsid w:val="42271215"/>
    <w:rsid w:val="427562F3"/>
    <w:rsid w:val="44854393"/>
    <w:rsid w:val="49F0206F"/>
    <w:rsid w:val="4CA56AC8"/>
    <w:rsid w:val="4EFF138A"/>
    <w:rsid w:val="4F3A608F"/>
    <w:rsid w:val="4F7C1F62"/>
    <w:rsid w:val="4FF402BD"/>
    <w:rsid w:val="56204E81"/>
    <w:rsid w:val="5F3A1866"/>
    <w:rsid w:val="640E3621"/>
    <w:rsid w:val="64537576"/>
    <w:rsid w:val="6B493E6B"/>
    <w:rsid w:val="6C762FE1"/>
    <w:rsid w:val="6CB91EFC"/>
    <w:rsid w:val="6D3271F1"/>
    <w:rsid w:val="6D995BAA"/>
    <w:rsid w:val="6E911166"/>
    <w:rsid w:val="7049636E"/>
    <w:rsid w:val="752D7250"/>
    <w:rsid w:val="75CF08F7"/>
    <w:rsid w:val="79421550"/>
    <w:rsid w:val="7F7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832CD"/>
  <w15:docId w15:val="{516A1B6E-00CD-4A2C-B2E1-24B02AB1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99" w:qFormat="1"/>
    <w:lsdException w:name="Subtitle" w:qFormat="1"/>
    <w:lsdException w:name="Body Text First Inden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style>
  <w:style w:type="paragraph" w:styleId="a4">
    <w:name w:val="Body Text"/>
    <w:basedOn w:val="a"/>
    <w:uiPriority w:val="99"/>
    <w:qFormat/>
    <w:pPr>
      <w:spacing w:after="120"/>
    </w:pPr>
  </w:style>
  <w:style w:type="paragraph" w:styleId="a5">
    <w:name w:val="annotation text"/>
    <w:basedOn w:val="a"/>
    <w:qFormat/>
    <w:pPr>
      <w:jc w:val="left"/>
    </w:pPr>
  </w:style>
  <w:style w:type="paragraph" w:styleId="a6">
    <w:name w:val="Plain Text"/>
    <w:basedOn w:val="a"/>
    <w:qFormat/>
    <w:rPr>
      <w:rFonts w:ascii="宋体" w:hAnsi="Courier New"/>
      <w:kern w:val="0"/>
      <w:sz w:val="20"/>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annotation reference"/>
    <w:basedOn w:val="a1"/>
    <w:uiPriority w:val="99"/>
    <w:semiHidden/>
    <w:unhideWhenUsed/>
    <w:qFormat/>
    <w:rPr>
      <w:sz w:val="21"/>
      <w:szCs w:val="21"/>
    </w:rPr>
  </w:style>
  <w:style w:type="paragraph" w:styleId="aa">
    <w:name w:val="List Paragraph"/>
    <w:basedOn w:val="a"/>
    <w:uiPriority w:val="99"/>
    <w:rsid w:val="007174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李克元</dc:creator>
  <cp:lastModifiedBy>DELL</cp:lastModifiedBy>
  <cp:revision>6</cp:revision>
  <cp:lastPrinted>2021-05-26T01:18:00Z</cp:lastPrinted>
  <dcterms:created xsi:type="dcterms:W3CDTF">2021-04-01T02:25:00Z</dcterms:created>
  <dcterms:modified xsi:type="dcterms:W3CDTF">2022-07-14T08:41:00Z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C017DD61AA8847F585C51A0C28028D46</vt:lpwstr>
  </property>
</Properties>
</file>