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eastAsia="方正小标宋_GBK"/>
          <w:sz w:val="28"/>
          <w:szCs w:val="28"/>
        </w:rPr>
      </w:pPr>
      <w:r>
        <w:rPr>
          <w:rFonts w:hint="eastAsia" w:ascii="方正小标宋_GBK" w:eastAsia="方正小标宋_GBK"/>
          <w:sz w:val="28"/>
          <w:szCs w:val="28"/>
        </w:rPr>
        <w:t>附件1：</w:t>
      </w:r>
    </w:p>
    <w:p>
      <w:pPr>
        <w:jc w:val="center"/>
        <w:rPr>
          <w:rFonts w:ascii="仿宋" w:hAnsi="仿宋" w:eastAsia="仿宋" w:cs="宋体"/>
          <w:b/>
          <w:bCs/>
          <w:kern w:val="0"/>
          <w:sz w:val="32"/>
          <w:szCs w:val="32"/>
        </w:rPr>
      </w:pPr>
      <w:r>
        <w:rPr>
          <w:rFonts w:hint="eastAsia" w:ascii="仿宋" w:hAnsi="仿宋" w:eastAsia="仿宋" w:cs="宋体"/>
          <w:b/>
          <w:bCs/>
          <w:kern w:val="0"/>
          <w:sz w:val="32"/>
          <w:szCs w:val="32"/>
        </w:rPr>
        <w:t>广西交通职业技术学院</w:t>
      </w:r>
      <w:r>
        <w:rPr>
          <w:rFonts w:ascii="仿宋" w:hAnsi="仿宋" w:eastAsia="仿宋" w:cs="宋体"/>
          <w:b/>
          <w:bCs/>
          <w:kern w:val="0"/>
          <w:sz w:val="32"/>
          <w:szCs w:val="32"/>
        </w:rPr>
        <w:t>2022</w:t>
      </w:r>
      <w:r>
        <w:rPr>
          <w:rFonts w:hint="eastAsia" w:ascii="仿宋" w:hAnsi="仿宋" w:eastAsia="仿宋" w:cs="宋体"/>
          <w:b/>
          <w:bCs/>
          <w:kern w:val="0"/>
          <w:sz w:val="32"/>
          <w:szCs w:val="32"/>
          <w:lang w:val="en-US" w:eastAsia="zh-CN"/>
        </w:rPr>
        <w:t>-</w:t>
      </w:r>
      <w:r>
        <w:rPr>
          <w:rFonts w:ascii="仿宋" w:hAnsi="仿宋" w:eastAsia="仿宋" w:cs="宋体"/>
          <w:b/>
          <w:bCs/>
          <w:kern w:val="0"/>
          <w:sz w:val="32"/>
          <w:szCs w:val="32"/>
        </w:rPr>
        <w:t>2023级</w:t>
      </w:r>
    </w:p>
    <w:p>
      <w:pPr>
        <w:jc w:val="center"/>
        <w:rPr>
          <w:rFonts w:ascii="仿宋" w:hAnsi="仿宋" w:eastAsia="仿宋" w:cs="宋体"/>
          <w:b/>
          <w:bCs/>
          <w:kern w:val="0"/>
          <w:sz w:val="32"/>
          <w:szCs w:val="32"/>
        </w:rPr>
      </w:pPr>
      <w:r>
        <w:rPr>
          <w:rFonts w:ascii="仿宋" w:hAnsi="仿宋" w:eastAsia="仿宋" w:cs="宋体"/>
          <w:b/>
          <w:bCs/>
          <w:kern w:val="0"/>
          <w:sz w:val="32"/>
          <w:szCs w:val="32"/>
        </w:rPr>
        <w:t>新生入学体检</w:t>
      </w:r>
      <w:r>
        <w:rPr>
          <w:rFonts w:hint="eastAsia" w:ascii="仿宋" w:hAnsi="仿宋" w:eastAsia="仿宋" w:cs="宋体"/>
          <w:b/>
          <w:bCs/>
          <w:kern w:val="0"/>
          <w:sz w:val="32"/>
          <w:szCs w:val="32"/>
          <w:lang w:val="en-US" w:eastAsia="zh-CN"/>
        </w:rPr>
        <w:t>服务</w:t>
      </w:r>
      <w:r>
        <w:rPr>
          <w:rFonts w:hint="eastAsia" w:ascii="仿宋" w:hAnsi="仿宋" w:eastAsia="仿宋" w:cs="宋体"/>
          <w:b/>
          <w:bCs/>
          <w:kern w:val="0"/>
          <w:sz w:val="32"/>
          <w:szCs w:val="32"/>
        </w:rPr>
        <w:t>项目采购需求</w:t>
      </w:r>
    </w:p>
    <w:tbl>
      <w:tblPr>
        <w:tblStyle w:val="7"/>
        <w:tblW w:w="93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
        <w:gridCol w:w="1320"/>
        <w:gridCol w:w="445"/>
        <w:gridCol w:w="5471"/>
        <w:gridCol w:w="1032"/>
        <w:gridCol w:w="6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48" w:type="dxa"/>
            <w:gridSpan w:val="6"/>
            <w:tcBorders>
              <w:top w:val="single" w:color="auto" w:sz="4" w:space="0"/>
              <w:left w:val="single" w:color="auto" w:sz="4" w:space="0"/>
              <w:bottom w:val="single" w:color="auto" w:sz="4" w:space="0"/>
              <w:right w:val="single" w:color="auto" w:sz="4" w:space="0"/>
            </w:tcBorders>
            <w:noWrap w:val="0"/>
            <w:vAlign w:val="center"/>
          </w:tcPr>
          <w:p>
            <w:pPr>
              <w:spacing w:after="0"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一、项目要求及技术服务要求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pPr>
              <w:spacing w:after="0"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after="0"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名称</w:t>
            </w:r>
          </w:p>
        </w:tc>
        <w:tc>
          <w:tcPr>
            <w:tcW w:w="5916"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服务内容及要求</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spacing w:after="0"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数量及单位</w:t>
            </w: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after="0"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pPr>
              <w:spacing w:after="0" w:line="48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lang w:bidi="ar"/>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after="0"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广西交通职业技术学院202</w:t>
            </w: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年、</w:t>
            </w:r>
            <w:r>
              <w:rPr>
                <w:rFonts w:hint="eastAsia" w:ascii="宋体" w:hAnsi="宋体" w:eastAsia="宋体" w:cs="宋体"/>
                <w:bCs/>
                <w:color w:val="auto"/>
                <w:sz w:val="24"/>
                <w:szCs w:val="24"/>
                <w:lang w:val="en-US" w:eastAsia="zh-CN"/>
              </w:rPr>
              <w:t>2023</w:t>
            </w:r>
            <w:r>
              <w:rPr>
                <w:rFonts w:hint="eastAsia" w:ascii="宋体" w:hAnsi="宋体" w:cs="宋体"/>
                <w:bCs/>
                <w:color w:val="auto"/>
                <w:sz w:val="24"/>
                <w:szCs w:val="24"/>
                <w:lang w:val="en-US" w:eastAsia="zh-CN"/>
              </w:rPr>
              <w:t>年</w:t>
            </w:r>
            <w:r>
              <w:rPr>
                <w:rFonts w:hint="eastAsia" w:ascii="宋体" w:hAnsi="宋体" w:eastAsia="宋体" w:cs="宋体"/>
                <w:bCs/>
                <w:color w:val="auto"/>
                <w:sz w:val="24"/>
                <w:szCs w:val="24"/>
              </w:rPr>
              <w:t>新生入学体检</w:t>
            </w:r>
          </w:p>
        </w:tc>
        <w:tc>
          <w:tcPr>
            <w:tcW w:w="5916"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根据《自治区教育厅自治区卫建委自治区发改委关于进一步加强全区普通高等学校学生健康体检工作的通知》（桂教体卫艺【2019】23号）的要求，为保证我院2022年、2023年新生入学体检工作的顺利开展，广西交通职业技术学院2022年、2023年新生入学体检项目的服务需求如下：</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一、项目名称</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项目名称：广西交通职业技术学院2022-</w:t>
            </w:r>
            <w:bookmarkStart w:id="0" w:name="_GoBack"/>
            <w:bookmarkEnd w:id="0"/>
            <w:r>
              <w:rPr>
                <w:rFonts w:hint="eastAsia" w:hAnsi="宋体" w:cs="宋体"/>
                <w:color w:val="auto"/>
                <w:sz w:val="24"/>
                <w:szCs w:val="22"/>
                <w:lang w:val="en-US" w:eastAsia="zh-CN"/>
              </w:rPr>
              <w:t>2023年新生入学体检</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二、项目情况</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2022年、2023年广西交通职业技术学院招生人数每年约9500人左右（其中：昆仑校区（位于南宁市昆仑大道1258号）预计新生人数为7600人；园湖校区（位于南宁市园湖北路12号）预计新生为900人；相思湖校区（位于南宁市大学东路109号）预计新生为1000人）。</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三、项目预算</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预算单价70元/人，预计人数9500人/年，预算约66.5万元/年，2年约共计133万元（9500人*70元/人*2年)。</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四、项目要求</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▲1.供应商须具备二级甲等及以上综合医院资质（依据：广西壮族自治区教育厅自治区卫生健康委关于做好我区2021年普通高校招生体检工作的通知桂教考试〔2020〕6号文件）。</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2.体检时间：学生体检一般在9月开学后一周内开展，体检时间约6天（园湖和相思湖校区的体检时间均为1天；昆仑校区体检时间为3-4天），具体时间按采购人通知要求执行。</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3.体检项目：</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（1）一般项目：身高、体重、血压</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（2）内科、外科、眼科（视力、色觉）、耳鼻喉、口腔</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（3）化验：血常规24项、肝功2项（总胆红素、谷丙转氨酶）</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（4）X线检查：胸部DR(不打片)</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4.具体体检工作要求：</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▲（1）体检设备要求：三个校区的胸片检查均需配备体检车；</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（2）医务人员要求：医护人员配备要求不少于80人。</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▲（3）体检过程中如发现有异常体征需进行进一步检查的学生，特别是传染性疾病，供应商应第一时间通知学校医务人员，以便及时与学生家长联系，进行相应的诊治。</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▲（4）供应商必须设有应急小组，负责处置体检过程中参检学生出现的各种健康状况。</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（5）体检现场留下的医疗垃圾由供应商负责带走处置。</w:t>
            </w:r>
          </w:p>
          <w:p>
            <w:pPr>
              <w:pStyle w:val="3"/>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（6）供应商在体检结束后二周内，须提供学生书面体检结果及电子档案（包括体检各项异常值分类表），并按照教育厅文件要求报送学生体检结果和统计报表。</w:t>
            </w:r>
          </w:p>
          <w:p>
            <w:pPr>
              <w:pStyle w:val="3"/>
              <w:spacing w:line="440" w:lineRule="exact"/>
              <w:jc w:val="left"/>
              <w:rPr>
                <w:rFonts w:hint="eastAsia"/>
              </w:rPr>
            </w:pPr>
            <w:r>
              <w:rPr>
                <w:rFonts w:hint="eastAsia" w:hAnsi="宋体" w:cs="宋体"/>
                <w:color w:val="auto"/>
                <w:sz w:val="24"/>
                <w:szCs w:val="22"/>
                <w:lang w:val="en-US" w:eastAsia="zh-CN"/>
              </w:rPr>
              <w:t>注：学校负责为供应商提供校内体检场所及体检所需的桌椅，组织好学生准时按照预定时间参加健康体检，安排工作人员协助体检现场各项工作协调。</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spacing w:after="0" w:line="48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1项</w:t>
            </w:r>
          </w:p>
        </w:tc>
        <w:tc>
          <w:tcPr>
            <w:tcW w:w="623" w:type="dxa"/>
            <w:tcBorders>
              <w:top w:val="single" w:color="auto" w:sz="4" w:space="0"/>
              <w:left w:val="single" w:color="auto" w:sz="4" w:space="0"/>
              <w:bottom w:val="single" w:color="auto" w:sz="4" w:space="0"/>
              <w:right w:val="single" w:color="auto" w:sz="4" w:space="0"/>
            </w:tcBorders>
            <w:noWrap w:val="0"/>
            <w:vAlign w:val="center"/>
          </w:tcPr>
          <w:p>
            <w:pPr>
              <w:spacing w:after="0" w:line="480" w:lineRule="exact"/>
              <w:ind w:firstLine="480" w:firstLineChars="200"/>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48" w:type="dxa"/>
            <w:gridSpan w:val="6"/>
            <w:tcBorders>
              <w:top w:val="single" w:color="auto" w:sz="4" w:space="0"/>
              <w:left w:val="single" w:color="auto" w:sz="4" w:space="0"/>
              <w:bottom w:val="single" w:color="auto" w:sz="4" w:space="0"/>
              <w:right w:val="single" w:color="auto" w:sz="4" w:space="0"/>
            </w:tcBorders>
            <w:noWrap w:val="0"/>
            <w:vAlign w:val="center"/>
          </w:tcPr>
          <w:p>
            <w:pPr>
              <w:spacing w:after="0" w:line="440" w:lineRule="exact"/>
              <w:ind w:firstLine="482" w:firstLineChars="200"/>
              <w:rPr>
                <w:rFonts w:hint="eastAsia" w:ascii="宋体" w:hAnsi="宋体" w:eastAsia="宋体" w:cs="宋体"/>
                <w:bCs/>
                <w:color w:val="auto"/>
                <w:sz w:val="24"/>
                <w:szCs w:val="24"/>
              </w:rPr>
            </w:pPr>
            <w:r>
              <w:rPr>
                <w:rFonts w:hint="eastAsia" w:ascii="宋体" w:hAnsi="宋体" w:eastAsia="宋体" w:cs="宋体"/>
                <w:b/>
                <w:bCs/>
                <w:color w:val="auto"/>
                <w:sz w:val="24"/>
                <w:szCs w:val="24"/>
              </w:rPr>
              <w:t>二、商务条款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22" w:type="dxa"/>
            <w:gridSpan w:val="3"/>
            <w:tcBorders>
              <w:top w:val="single" w:color="auto" w:sz="4" w:space="0"/>
              <w:left w:val="single" w:color="auto" w:sz="4" w:space="0"/>
              <w:bottom w:val="single" w:color="auto" w:sz="4" w:space="0"/>
              <w:right w:val="single" w:color="auto" w:sz="4" w:space="0"/>
            </w:tcBorders>
            <w:noWrap w:val="0"/>
            <w:vAlign w:val="center"/>
          </w:tcPr>
          <w:p>
            <w:pPr>
              <w:spacing w:after="0" w:line="440" w:lineRule="exact"/>
              <w:jc w:val="center"/>
              <w:rPr>
                <w:rFonts w:hint="eastAsia" w:ascii="仿宋" w:hAnsi="仿宋" w:eastAsia="仿宋" w:cs="仿宋"/>
                <w:sz w:val="32"/>
                <w:szCs w:val="32"/>
              </w:rPr>
            </w:pPr>
            <w:r>
              <w:rPr>
                <w:rFonts w:hint="eastAsia" w:ascii="仿宋" w:hAnsi="仿宋" w:eastAsia="仿宋" w:cs="仿宋"/>
                <w:sz w:val="32"/>
                <w:szCs w:val="32"/>
              </w:rPr>
              <w:t>合同签订期</w:t>
            </w:r>
          </w:p>
        </w:tc>
        <w:tc>
          <w:tcPr>
            <w:tcW w:w="7126" w:type="dxa"/>
            <w:gridSpan w:val="3"/>
            <w:tcBorders>
              <w:top w:val="single" w:color="auto" w:sz="4" w:space="0"/>
              <w:left w:val="single" w:color="auto" w:sz="4" w:space="0"/>
              <w:bottom w:val="single" w:color="auto" w:sz="4" w:space="0"/>
              <w:right w:val="single" w:color="auto" w:sz="4" w:space="0"/>
            </w:tcBorders>
            <w:noWrap w:val="0"/>
            <w:vAlign w:val="center"/>
          </w:tcPr>
          <w:p>
            <w:pPr>
              <w:pStyle w:val="3"/>
              <w:numPr>
                <w:ilvl w:val="0"/>
                <w:numId w:val="0"/>
              </w:numPr>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中标单位应在中标结果公告后10个日历日内与采购人签订合同。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22" w:type="dxa"/>
            <w:gridSpan w:val="3"/>
            <w:tcBorders>
              <w:top w:val="single" w:color="auto" w:sz="4" w:space="0"/>
              <w:left w:val="single" w:color="auto" w:sz="4" w:space="0"/>
              <w:bottom w:val="single" w:color="auto" w:sz="4" w:space="0"/>
              <w:right w:val="single" w:color="auto" w:sz="4" w:space="0"/>
            </w:tcBorders>
            <w:noWrap w:val="0"/>
            <w:vAlign w:val="center"/>
          </w:tcPr>
          <w:p>
            <w:pPr>
              <w:spacing w:after="0" w:line="440" w:lineRule="exact"/>
              <w:jc w:val="center"/>
              <w:rPr>
                <w:rFonts w:hint="eastAsia" w:ascii="仿宋" w:hAnsi="仿宋" w:eastAsia="仿宋" w:cs="仿宋"/>
                <w:sz w:val="32"/>
                <w:szCs w:val="32"/>
              </w:rPr>
            </w:pPr>
            <w:r>
              <w:rPr>
                <w:rFonts w:hint="eastAsia" w:ascii="仿宋" w:hAnsi="仿宋" w:eastAsia="仿宋" w:cs="仿宋"/>
                <w:sz w:val="32"/>
                <w:szCs w:val="32"/>
              </w:rPr>
              <w:t>服务期限</w:t>
            </w:r>
          </w:p>
        </w:tc>
        <w:tc>
          <w:tcPr>
            <w:tcW w:w="7126" w:type="dxa"/>
            <w:gridSpan w:val="3"/>
            <w:tcBorders>
              <w:top w:val="single" w:color="auto" w:sz="4" w:space="0"/>
              <w:left w:val="single" w:color="auto" w:sz="4" w:space="0"/>
              <w:bottom w:val="single" w:color="auto" w:sz="4" w:space="0"/>
              <w:right w:val="single" w:color="auto" w:sz="4" w:space="0"/>
            </w:tcBorders>
            <w:noWrap w:val="0"/>
            <w:vAlign w:val="center"/>
          </w:tcPr>
          <w:p>
            <w:pPr>
              <w:pStyle w:val="3"/>
              <w:numPr>
                <w:ilvl w:val="0"/>
                <w:numId w:val="0"/>
              </w:numPr>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从体检之日起到体检所有工作结束。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22" w:type="dxa"/>
            <w:gridSpan w:val="3"/>
            <w:tcBorders>
              <w:top w:val="single" w:color="auto" w:sz="4" w:space="0"/>
              <w:left w:val="single" w:color="auto" w:sz="4" w:space="0"/>
              <w:bottom w:val="single" w:color="auto" w:sz="4" w:space="0"/>
              <w:right w:val="single" w:color="auto" w:sz="4" w:space="0"/>
            </w:tcBorders>
            <w:noWrap w:val="0"/>
            <w:vAlign w:val="center"/>
          </w:tcPr>
          <w:p>
            <w:pPr>
              <w:spacing w:after="0" w:line="440" w:lineRule="exact"/>
              <w:ind w:firstLine="320" w:firstLineChars="100"/>
              <w:jc w:val="both"/>
              <w:rPr>
                <w:rFonts w:hint="eastAsia" w:ascii="仿宋" w:hAnsi="仿宋" w:eastAsia="仿宋" w:cs="仿宋"/>
                <w:sz w:val="32"/>
                <w:szCs w:val="32"/>
              </w:rPr>
            </w:pPr>
            <w:r>
              <w:rPr>
                <w:rFonts w:hint="eastAsia" w:ascii="仿宋" w:hAnsi="仿宋" w:eastAsia="仿宋" w:cs="仿宋"/>
                <w:sz w:val="32"/>
                <w:szCs w:val="32"/>
              </w:rPr>
              <w:t>服务地点</w:t>
            </w:r>
          </w:p>
        </w:tc>
        <w:tc>
          <w:tcPr>
            <w:tcW w:w="7126" w:type="dxa"/>
            <w:gridSpan w:val="3"/>
            <w:tcBorders>
              <w:top w:val="single" w:color="auto" w:sz="4" w:space="0"/>
              <w:left w:val="single" w:color="auto" w:sz="4" w:space="0"/>
              <w:bottom w:val="single" w:color="auto" w:sz="4" w:space="0"/>
              <w:right w:val="single" w:color="auto" w:sz="4" w:space="0"/>
            </w:tcBorders>
            <w:noWrap w:val="0"/>
            <w:vAlign w:val="center"/>
          </w:tcPr>
          <w:p>
            <w:pPr>
              <w:pStyle w:val="3"/>
              <w:numPr>
                <w:ilvl w:val="0"/>
                <w:numId w:val="0"/>
              </w:numPr>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 xml:space="preserve">广西交通职业技术学院昆仑校区、园湖校区、相思湖校区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22" w:type="dxa"/>
            <w:gridSpan w:val="3"/>
            <w:tcBorders>
              <w:top w:val="single" w:color="auto" w:sz="4" w:space="0"/>
              <w:left w:val="single" w:color="auto" w:sz="4" w:space="0"/>
              <w:bottom w:val="single" w:color="auto" w:sz="4" w:space="0"/>
              <w:right w:val="single" w:color="auto" w:sz="4" w:space="0"/>
            </w:tcBorders>
            <w:noWrap w:val="0"/>
            <w:vAlign w:val="center"/>
          </w:tcPr>
          <w:p>
            <w:pPr>
              <w:spacing w:after="0" w:line="440" w:lineRule="exact"/>
              <w:ind w:firstLine="320" w:firstLineChars="100"/>
              <w:jc w:val="both"/>
              <w:rPr>
                <w:rFonts w:hint="eastAsia" w:ascii="仿宋" w:hAnsi="仿宋" w:eastAsia="仿宋" w:cs="仿宋"/>
                <w:sz w:val="32"/>
                <w:szCs w:val="32"/>
              </w:rPr>
            </w:pPr>
            <w:r>
              <w:rPr>
                <w:rFonts w:hint="eastAsia" w:ascii="仿宋" w:hAnsi="仿宋" w:eastAsia="仿宋" w:cs="仿宋"/>
                <w:sz w:val="32"/>
                <w:szCs w:val="32"/>
              </w:rPr>
              <w:t>质量要求</w:t>
            </w:r>
          </w:p>
        </w:tc>
        <w:tc>
          <w:tcPr>
            <w:tcW w:w="7126" w:type="dxa"/>
            <w:gridSpan w:val="3"/>
            <w:tcBorders>
              <w:top w:val="single" w:color="auto" w:sz="4" w:space="0"/>
              <w:left w:val="single" w:color="auto" w:sz="4" w:space="0"/>
              <w:bottom w:val="single" w:color="auto" w:sz="4" w:space="0"/>
              <w:right w:val="single" w:color="auto" w:sz="4" w:space="0"/>
            </w:tcBorders>
            <w:noWrap w:val="0"/>
            <w:vAlign w:val="center"/>
          </w:tcPr>
          <w:p>
            <w:pPr>
              <w:pStyle w:val="3"/>
              <w:numPr>
                <w:ilvl w:val="0"/>
                <w:numId w:val="0"/>
              </w:numPr>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符合国家规定的标准和现行技术规范、规程要求。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22" w:type="dxa"/>
            <w:gridSpan w:val="3"/>
            <w:tcBorders>
              <w:top w:val="single" w:color="auto" w:sz="4" w:space="0"/>
              <w:left w:val="single" w:color="auto" w:sz="4" w:space="0"/>
              <w:bottom w:val="single" w:color="auto" w:sz="4" w:space="0"/>
              <w:right w:val="single" w:color="auto" w:sz="4" w:space="0"/>
            </w:tcBorders>
            <w:noWrap w:val="0"/>
            <w:vAlign w:val="center"/>
          </w:tcPr>
          <w:p>
            <w:pPr>
              <w:spacing w:after="0" w:line="440" w:lineRule="exact"/>
              <w:ind w:firstLine="320" w:firstLineChars="100"/>
              <w:jc w:val="both"/>
              <w:rPr>
                <w:rFonts w:hint="eastAsia" w:ascii="仿宋" w:hAnsi="仿宋" w:eastAsia="仿宋" w:cs="仿宋"/>
                <w:sz w:val="32"/>
                <w:szCs w:val="32"/>
              </w:rPr>
            </w:pPr>
            <w:r>
              <w:rPr>
                <w:rFonts w:hint="eastAsia" w:ascii="仿宋" w:hAnsi="仿宋" w:eastAsia="仿宋" w:cs="仿宋"/>
                <w:sz w:val="32"/>
                <w:szCs w:val="32"/>
              </w:rPr>
              <w:t>报价要求</w:t>
            </w:r>
          </w:p>
        </w:tc>
        <w:tc>
          <w:tcPr>
            <w:tcW w:w="7126" w:type="dxa"/>
            <w:gridSpan w:val="3"/>
            <w:tcBorders>
              <w:top w:val="single" w:color="auto" w:sz="4" w:space="0"/>
              <w:left w:val="single" w:color="auto" w:sz="4" w:space="0"/>
              <w:bottom w:val="single" w:color="auto" w:sz="4" w:space="0"/>
              <w:right w:val="single" w:color="auto" w:sz="4" w:space="0"/>
            </w:tcBorders>
            <w:noWrap w:val="0"/>
            <w:vAlign w:val="center"/>
          </w:tcPr>
          <w:p>
            <w:pPr>
              <w:pStyle w:val="3"/>
              <w:numPr>
                <w:ilvl w:val="0"/>
                <w:numId w:val="0"/>
              </w:numPr>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1、按体检单价进行报价，报价不得高于预算单价70元/人。</w:t>
            </w:r>
          </w:p>
          <w:p>
            <w:pPr>
              <w:pStyle w:val="3"/>
              <w:numPr>
                <w:ilvl w:val="0"/>
                <w:numId w:val="0"/>
              </w:numPr>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2、报价包含体检、化验、材料（如设备、体检表格、消耗性材料等)、医疗垃圾管理及处置、体检结果分析、项目验收费、售后服务、税金等费用等与本项目服务业务有关的所有相关费用，供应商考虑各方面因素、风险，根据实际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22" w:type="dxa"/>
            <w:gridSpan w:val="3"/>
            <w:tcBorders>
              <w:top w:val="single" w:color="auto" w:sz="4" w:space="0"/>
              <w:left w:val="single" w:color="auto" w:sz="4" w:space="0"/>
              <w:bottom w:val="single" w:color="auto" w:sz="4" w:space="0"/>
              <w:right w:val="single" w:color="auto" w:sz="4" w:space="0"/>
            </w:tcBorders>
            <w:noWrap w:val="0"/>
            <w:vAlign w:val="center"/>
          </w:tcPr>
          <w:p>
            <w:pPr>
              <w:spacing w:after="0" w:line="440" w:lineRule="exact"/>
              <w:ind w:firstLine="320" w:firstLineChars="100"/>
              <w:jc w:val="both"/>
              <w:rPr>
                <w:rFonts w:hint="eastAsia" w:ascii="仿宋" w:hAnsi="仿宋" w:eastAsia="仿宋" w:cs="仿宋"/>
                <w:sz w:val="32"/>
                <w:szCs w:val="32"/>
              </w:rPr>
            </w:pPr>
            <w:r>
              <w:rPr>
                <w:rFonts w:hint="eastAsia" w:ascii="仿宋" w:hAnsi="仿宋" w:eastAsia="仿宋" w:cs="仿宋"/>
                <w:sz w:val="32"/>
                <w:szCs w:val="32"/>
                <w:lang w:val="en-US" w:eastAsia="zh-CN"/>
              </w:rPr>
              <w:t>付款方式</w:t>
            </w:r>
          </w:p>
        </w:tc>
        <w:tc>
          <w:tcPr>
            <w:tcW w:w="7126" w:type="dxa"/>
            <w:gridSpan w:val="3"/>
            <w:tcBorders>
              <w:top w:val="single" w:color="auto" w:sz="4" w:space="0"/>
              <w:left w:val="single" w:color="auto" w:sz="4" w:space="0"/>
              <w:bottom w:val="single" w:color="auto" w:sz="4" w:space="0"/>
              <w:right w:val="single" w:color="auto" w:sz="4" w:space="0"/>
            </w:tcBorders>
            <w:noWrap w:val="0"/>
            <w:vAlign w:val="center"/>
          </w:tcPr>
          <w:p>
            <w:pPr>
              <w:pStyle w:val="3"/>
              <w:numPr>
                <w:ilvl w:val="0"/>
                <w:numId w:val="0"/>
              </w:numPr>
              <w:spacing w:line="440" w:lineRule="exact"/>
              <w:jc w:val="left"/>
              <w:rPr>
                <w:rFonts w:hint="default" w:hAnsi="宋体" w:cs="宋体"/>
                <w:color w:val="auto"/>
                <w:sz w:val="24"/>
                <w:szCs w:val="22"/>
                <w:lang w:val="en-US" w:eastAsia="zh-CN"/>
              </w:rPr>
            </w:pPr>
            <w:r>
              <w:rPr>
                <w:rFonts w:hint="eastAsia" w:hAnsi="宋体" w:cs="宋体"/>
                <w:color w:val="auto"/>
                <w:sz w:val="24"/>
                <w:szCs w:val="22"/>
                <w:lang w:val="en-US" w:eastAsia="zh-CN"/>
              </w:rPr>
              <w:t>1.最终结算金额=实际体检人数X中标单价</w:t>
            </w:r>
          </w:p>
          <w:p>
            <w:pPr>
              <w:pStyle w:val="3"/>
              <w:numPr>
                <w:ilvl w:val="0"/>
                <w:numId w:val="0"/>
              </w:numPr>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 xml:space="preserve">2.供应商完成体检并向学校管理部门提交相关健康体检报告及数据，双方核对已参加体检人数及体检项目无误后，学校在收到供应商开具的合法发票一次付全款给乙方。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22" w:type="dxa"/>
            <w:gridSpan w:val="3"/>
            <w:tcBorders>
              <w:top w:val="single" w:color="auto" w:sz="4" w:space="0"/>
              <w:left w:val="single" w:color="auto" w:sz="4" w:space="0"/>
              <w:right w:val="single" w:color="auto" w:sz="4" w:space="0"/>
            </w:tcBorders>
            <w:noWrap w:val="0"/>
            <w:vAlign w:val="center"/>
          </w:tcPr>
          <w:p>
            <w:pPr>
              <w:spacing w:after="0" w:line="440" w:lineRule="exact"/>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其他要求</w:t>
            </w:r>
          </w:p>
        </w:tc>
        <w:tc>
          <w:tcPr>
            <w:tcW w:w="7126" w:type="dxa"/>
            <w:gridSpan w:val="3"/>
            <w:tcBorders>
              <w:top w:val="single" w:color="auto" w:sz="4" w:space="0"/>
              <w:left w:val="single" w:color="auto" w:sz="4" w:space="0"/>
              <w:bottom w:val="single" w:color="auto" w:sz="4" w:space="0"/>
              <w:right w:val="single" w:color="auto" w:sz="4" w:space="0"/>
            </w:tcBorders>
            <w:noWrap w:val="0"/>
            <w:vAlign w:val="center"/>
          </w:tcPr>
          <w:p>
            <w:pPr>
              <w:pStyle w:val="3"/>
              <w:numPr>
                <w:ilvl w:val="0"/>
                <w:numId w:val="0"/>
              </w:numPr>
              <w:spacing w:line="440" w:lineRule="exact"/>
              <w:jc w:val="left"/>
              <w:rPr>
                <w:rFonts w:hint="eastAsia" w:hAnsi="宋体" w:cs="宋体"/>
                <w:color w:val="auto"/>
                <w:sz w:val="24"/>
                <w:szCs w:val="22"/>
                <w:lang w:val="en-US" w:eastAsia="zh-CN"/>
              </w:rPr>
            </w:pPr>
            <w:r>
              <w:rPr>
                <w:rFonts w:hint="eastAsia" w:hAnsi="宋体" w:cs="宋体"/>
                <w:color w:val="auto"/>
                <w:sz w:val="24"/>
                <w:szCs w:val="22"/>
                <w:lang w:val="en-US" w:eastAsia="zh-CN"/>
              </w:rPr>
              <w:t>其他未尽事宜由供需双方在采购合同中详细约定。</w:t>
            </w:r>
          </w:p>
        </w:tc>
      </w:tr>
    </w:tbl>
    <w:p>
      <w:pPr>
        <w:rPr>
          <w:rFonts w:hint="eastAsia" w:ascii="方正小标宋_GBK" w:eastAsia="方正小标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wOGJlODgzMmQwMGE2ODI3OTE5NWNlZTFjY2E5MjkifQ=="/>
  </w:docVars>
  <w:rsids>
    <w:rsidRoot w:val="00B77237"/>
    <w:rsid w:val="0000521D"/>
    <w:rsid w:val="00246582"/>
    <w:rsid w:val="00B77237"/>
    <w:rsid w:val="00BA7CAB"/>
    <w:rsid w:val="219572DD"/>
    <w:rsid w:val="34AA2904"/>
    <w:rsid w:val="519313B0"/>
    <w:rsid w:val="5A044D15"/>
    <w:rsid w:val="66155878"/>
    <w:rsid w:val="7371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0"/>
    <w:pPr>
      <w:spacing w:line="360" w:lineRule="auto"/>
      <w:jc w:val="center"/>
    </w:pPr>
    <w:rPr>
      <w:rFonts w:ascii="Times New Roman" w:hAnsi="Times New Roman" w:eastAsia="宋体" w:cs="Times New Roman"/>
      <w:sz w:val="52"/>
      <w:szCs w:val="24"/>
    </w:rPr>
  </w:style>
  <w:style w:type="paragraph" w:styleId="3">
    <w:name w:val="Plain Text"/>
    <w:basedOn w:val="1"/>
    <w:next w:val="1"/>
    <w:link w:val="12"/>
    <w:qFormat/>
    <w:uiPriority w:val="0"/>
    <w:pPr>
      <w:spacing w:line="360" w:lineRule="auto"/>
    </w:pPr>
    <w:rPr>
      <w:rFonts w:ascii="宋体" w:hAnsi="Courier New" w:eastAsia="宋体" w:cs="Times New Roman"/>
      <w:kern w:val="0"/>
      <w:szCs w:val="21"/>
    </w:rPr>
  </w:style>
  <w:style w:type="paragraph" w:styleId="4">
    <w:name w:val="annotation text"/>
    <w:basedOn w:val="1"/>
    <w:link w:val="13"/>
    <w:qFormat/>
    <w:uiPriority w:val="0"/>
    <w:pPr>
      <w:widowControl/>
      <w:adjustRightInd w:val="0"/>
      <w:snapToGrid w:val="0"/>
      <w:spacing w:after="200" w:line="360" w:lineRule="auto"/>
      <w:jc w:val="left"/>
    </w:pPr>
    <w:rPr>
      <w:rFonts w:ascii="Tahoma" w:hAnsi="Tahoma" w:eastAsia="宋体" w:cs="Times New Roman"/>
      <w:kern w:val="0"/>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正文文本 字符"/>
    <w:basedOn w:val="8"/>
    <w:link w:val="2"/>
    <w:qFormat/>
    <w:uiPriority w:val="0"/>
    <w:rPr>
      <w:rFonts w:ascii="Times New Roman" w:hAnsi="Times New Roman" w:eastAsia="宋体" w:cs="Times New Roman"/>
      <w:sz w:val="52"/>
      <w:szCs w:val="24"/>
    </w:rPr>
  </w:style>
  <w:style w:type="character" w:customStyle="1" w:styleId="12">
    <w:name w:val="纯文本 字符"/>
    <w:basedOn w:val="8"/>
    <w:link w:val="3"/>
    <w:qFormat/>
    <w:uiPriority w:val="0"/>
    <w:rPr>
      <w:rFonts w:ascii="宋体" w:hAnsi="Courier New" w:eastAsia="宋体" w:cs="Times New Roman"/>
      <w:kern w:val="0"/>
      <w:szCs w:val="21"/>
    </w:rPr>
  </w:style>
  <w:style w:type="character" w:customStyle="1" w:styleId="13">
    <w:name w:val="批注文字 字符"/>
    <w:basedOn w:val="8"/>
    <w:link w:val="4"/>
    <w:qFormat/>
    <w:uiPriority w:val="0"/>
    <w:rPr>
      <w:rFonts w:ascii="Tahoma" w:hAnsi="Tahoma" w:eastAsia="宋体" w:cs="Times New Roman"/>
      <w:kern w:val="0"/>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1368</Words>
  <Characters>1460</Characters>
  <Lines>11</Lines>
  <Paragraphs>3</Paragraphs>
  <TotalTime>1</TotalTime>
  <ScaleCrop>false</ScaleCrop>
  <LinksUpToDate>false</LinksUpToDate>
  <CharactersWithSpaces>1462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2022-05-17T13:05:00Z</dcterms:created>
  <dc:creator>Lenovo</dc:creator>
  <cp:lastModifiedBy>克元</cp:lastModifiedBy>
  <cp:lastPrinted>2022-06-15T06:55:00Z</cp:lastPrinted>
  <dcterms:modified xsi:type="dcterms:W3CDTF">2022-06-16T05:47:13Z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2BFFCC2972D449D680FC989DAA209376</vt:lpwstr>
  </property>
</Properties>
</file>