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83" w:rsidRDefault="000A0562" w:rsidP="003C5C14">
      <w:pPr>
        <w:ind w:firstLineChars="100" w:firstLine="361"/>
        <w:jc w:val="center"/>
        <w:rPr>
          <w:rFonts w:ascii="仿宋" w:eastAsia="仿宋" w:hAnsi="仿宋" w:cs="Times New Roman"/>
          <w:b/>
          <w:sz w:val="36"/>
          <w:szCs w:val="36"/>
        </w:rPr>
      </w:pPr>
      <w:r>
        <w:rPr>
          <w:rFonts w:ascii="仿宋" w:eastAsia="仿宋" w:hAnsi="仿宋" w:cs="Times New Roman" w:hint="eastAsia"/>
          <w:b/>
          <w:sz w:val="36"/>
          <w:szCs w:val="36"/>
        </w:rPr>
        <w:t>关于</w:t>
      </w:r>
      <w:r w:rsidR="0040559B">
        <w:rPr>
          <w:rFonts w:ascii="仿宋" w:eastAsia="仿宋" w:hAnsi="仿宋" w:cs="Times New Roman" w:hint="eastAsia"/>
          <w:b/>
          <w:sz w:val="36"/>
          <w:szCs w:val="36"/>
        </w:rPr>
        <w:t>购买</w:t>
      </w:r>
      <w:r>
        <w:rPr>
          <w:rFonts w:ascii="仿宋" w:eastAsia="仿宋" w:hAnsi="仿宋" w:cs="Times New Roman" w:hint="eastAsia"/>
          <w:b/>
          <w:sz w:val="36"/>
          <w:szCs w:val="36"/>
        </w:rPr>
        <w:t>汽车系</w:t>
      </w:r>
      <w:r w:rsidR="0089599A">
        <w:rPr>
          <w:rFonts w:ascii="仿宋" w:eastAsia="仿宋" w:hAnsi="仿宋" w:cs="Times New Roman" w:hint="eastAsia"/>
          <w:b/>
          <w:sz w:val="36"/>
          <w:szCs w:val="36"/>
        </w:rPr>
        <w:t>教学设备</w:t>
      </w:r>
      <w:r w:rsidR="00171BE9">
        <w:rPr>
          <w:rFonts w:ascii="仿宋" w:eastAsia="仿宋" w:hAnsi="仿宋" w:cs="Times New Roman" w:hint="eastAsia"/>
          <w:b/>
          <w:sz w:val="36"/>
          <w:szCs w:val="36"/>
        </w:rPr>
        <w:t>公告</w:t>
      </w:r>
    </w:p>
    <w:p w:rsidR="00072883" w:rsidRDefault="00E574CE">
      <w:pPr>
        <w:widowControl/>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因</w:t>
      </w:r>
      <w:r w:rsidR="002B1552">
        <w:rPr>
          <w:rFonts w:ascii="华文仿宋" w:eastAsia="华文仿宋" w:hAnsi="华文仿宋" w:cs="华文仿宋" w:hint="eastAsia"/>
          <w:sz w:val="30"/>
          <w:szCs w:val="30"/>
        </w:rPr>
        <w:t>教学</w:t>
      </w:r>
      <w:r>
        <w:rPr>
          <w:rFonts w:ascii="华文仿宋" w:eastAsia="华文仿宋" w:hAnsi="华文仿宋" w:cs="华文仿宋" w:hint="eastAsia"/>
          <w:sz w:val="30"/>
          <w:szCs w:val="30"/>
        </w:rPr>
        <w:t>工作需要</w:t>
      </w:r>
      <w:r w:rsidR="00171BE9">
        <w:rPr>
          <w:rFonts w:ascii="华文仿宋" w:eastAsia="华文仿宋" w:hAnsi="华文仿宋" w:cs="华文仿宋" w:hint="eastAsia"/>
          <w:sz w:val="30"/>
          <w:szCs w:val="30"/>
        </w:rPr>
        <w:t>，</w:t>
      </w:r>
      <w:r>
        <w:rPr>
          <w:rFonts w:ascii="华文仿宋" w:eastAsia="华文仿宋" w:hAnsi="华文仿宋" w:cs="华文仿宋" w:hint="eastAsia"/>
          <w:sz w:val="30"/>
          <w:szCs w:val="30"/>
        </w:rPr>
        <w:t>现向社会</w:t>
      </w:r>
      <w:r w:rsidR="005F3064" w:rsidRPr="005F3064">
        <w:rPr>
          <w:rFonts w:ascii="华文仿宋" w:eastAsia="华文仿宋" w:hAnsi="华文仿宋" w:cs="华文仿宋" w:hint="eastAsia"/>
          <w:sz w:val="30"/>
          <w:szCs w:val="30"/>
        </w:rPr>
        <w:t>购置询价</w:t>
      </w:r>
      <w:r>
        <w:rPr>
          <w:rFonts w:ascii="华文仿宋" w:eastAsia="华文仿宋" w:hAnsi="华文仿宋" w:cs="华文仿宋" w:hint="eastAsia"/>
          <w:sz w:val="30"/>
          <w:szCs w:val="30"/>
        </w:rPr>
        <w:t>。</w:t>
      </w:r>
      <w:r w:rsidR="00171BE9">
        <w:rPr>
          <w:rFonts w:ascii="华文仿宋" w:eastAsia="华文仿宋" w:hAnsi="华文仿宋" w:cs="华文仿宋" w:hint="eastAsia"/>
          <w:sz w:val="30"/>
          <w:szCs w:val="30"/>
        </w:rPr>
        <w:t>欢迎符合条件的投标人前来报价。</w:t>
      </w:r>
    </w:p>
    <w:p w:rsidR="00072883" w:rsidRDefault="00171BE9">
      <w:pPr>
        <w:pStyle w:val="a9"/>
        <w:widowControl/>
        <w:numPr>
          <w:ilvl w:val="0"/>
          <w:numId w:val="1"/>
        </w:numPr>
        <w:ind w:firstLineChars="0"/>
        <w:rPr>
          <w:rFonts w:ascii="宋体" w:eastAsia="宋体" w:hAnsi="宋体" w:cs="宋体"/>
          <w:kern w:val="0"/>
          <w:sz w:val="22"/>
        </w:rPr>
      </w:pPr>
      <w:r>
        <w:rPr>
          <w:rFonts w:ascii="宋体" w:eastAsia="宋体" w:hAnsi="宋体" w:cs="宋体" w:hint="eastAsia"/>
          <w:b/>
          <w:bCs/>
          <w:color w:val="000000"/>
          <w:kern w:val="0"/>
          <w:sz w:val="28"/>
          <w:szCs w:val="28"/>
        </w:rPr>
        <w:t>采购项目名称：</w:t>
      </w:r>
      <w:r w:rsidR="0089599A" w:rsidRPr="0089599A">
        <w:rPr>
          <w:rFonts w:ascii="华文仿宋" w:eastAsia="华文仿宋" w:hAnsi="华文仿宋" w:cs="华文仿宋" w:hint="eastAsia"/>
          <w:sz w:val="30"/>
          <w:szCs w:val="30"/>
        </w:rPr>
        <w:t>汽车系购买教学设备购置</w:t>
      </w:r>
    </w:p>
    <w:p w:rsidR="004F644D" w:rsidRDefault="00171BE9" w:rsidP="004F644D">
      <w:pPr>
        <w:pStyle w:val="a9"/>
        <w:widowControl/>
        <w:numPr>
          <w:ilvl w:val="0"/>
          <w:numId w:val="1"/>
        </w:numPr>
        <w:ind w:firstLineChars="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项目</w:t>
      </w:r>
      <w:r w:rsidR="00E45ADB">
        <w:rPr>
          <w:rFonts w:ascii="宋体" w:eastAsia="宋体" w:hAnsi="宋体" w:cs="宋体" w:hint="eastAsia"/>
          <w:b/>
          <w:bCs/>
          <w:color w:val="000000"/>
          <w:kern w:val="0"/>
          <w:sz w:val="28"/>
          <w:szCs w:val="28"/>
        </w:rPr>
        <w:t>货物名称、规格型号、数量、单位及预算</w:t>
      </w:r>
      <w:r w:rsidR="005F3064">
        <w:rPr>
          <w:rFonts w:ascii="宋体" w:eastAsia="宋体" w:hAnsi="宋体" w:cs="宋体" w:hint="eastAsia"/>
          <w:b/>
          <w:bCs/>
          <w:color w:val="000000"/>
          <w:kern w:val="0"/>
          <w:sz w:val="28"/>
          <w:szCs w:val="28"/>
        </w:rPr>
        <w:t>表</w:t>
      </w:r>
      <w:r w:rsidR="004F644D">
        <w:rPr>
          <w:rFonts w:ascii="宋体" w:eastAsia="宋体" w:hAnsi="宋体" w:cs="宋体" w:hint="eastAsia"/>
          <w:b/>
          <w:bCs/>
          <w:color w:val="000000"/>
          <w:kern w:val="0"/>
          <w:sz w:val="28"/>
          <w:szCs w:val="28"/>
        </w:rPr>
        <w:t>等需求</w:t>
      </w:r>
      <w:r>
        <w:rPr>
          <w:rFonts w:ascii="宋体" w:eastAsia="宋体" w:hAnsi="宋体" w:cs="宋体" w:hint="eastAsia"/>
          <w:b/>
          <w:bCs/>
          <w:color w:val="000000"/>
          <w:kern w:val="0"/>
          <w:sz w:val="28"/>
          <w:szCs w:val="28"/>
        </w:rPr>
        <w:t>：</w:t>
      </w:r>
    </w:p>
    <w:p w:rsidR="00BA2B20" w:rsidRPr="00BA2B20" w:rsidRDefault="00BA2B20" w:rsidP="00BA2B20">
      <w:pPr>
        <w:pStyle w:val="a9"/>
        <w:widowControl/>
        <w:ind w:left="720" w:firstLineChars="0" w:firstLine="0"/>
        <w:rPr>
          <w:rFonts w:ascii="华文仿宋" w:eastAsia="华文仿宋" w:hAnsi="华文仿宋" w:cs="华文仿宋"/>
          <w:sz w:val="30"/>
          <w:szCs w:val="30"/>
        </w:rPr>
      </w:pPr>
      <w:r w:rsidRPr="00BA2B20">
        <w:rPr>
          <w:rFonts w:ascii="华文仿宋" w:eastAsia="华文仿宋" w:hAnsi="华文仿宋" w:cs="华文仿宋" w:hint="eastAsia"/>
          <w:sz w:val="30"/>
          <w:szCs w:val="30"/>
        </w:rPr>
        <w:t>1、项目货物名称、规格型号、数量、单位及预算表</w:t>
      </w:r>
    </w:p>
    <w:p w:rsidR="004E49EC" w:rsidRPr="00526983" w:rsidRDefault="004E49EC" w:rsidP="004E49EC">
      <w:pPr>
        <w:jc w:val="center"/>
        <w:rPr>
          <w:rFonts w:asciiTheme="minorEastAsia" w:hAnsiTheme="minorEastAsia" w:cstheme="minorEastAsia"/>
          <w:b/>
          <w:szCs w:val="21"/>
        </w:rPr>
      </w:pPr>
      <w:r w:rsidRPr="002B782D">
        <w:rPr>
          <w:rFonts w:asciiTheme="minorEastAsia" w:hAnsiTheme="minorEastAsia" w:cstheme="minorEastAsia" w:hint="eastAsia"/>
          <w:b/>
          <w:szCs w:val="21"/>
        </w:rPr>
        <w:t>广西交通职业技术学院项目采购申请表</w:t>
      </w:r>
    </w:p>
    <w:tbl>
      <w:tblPr>
        <w:tblStyle w:val="a8"/>
        <w:tblW w:w="8897" w:type="dxa"/>
        <w:tblLayout w:type="fixed"/>
        <w:tblLook w:val="04A0" w:firstRow="1" w:lastRow="0" w:firstColumn="1" w:lastColumn="0" w:noHBand="0" w:noVBand="1"/>
      </w:tblPr>
      <w:tblGrid>
        <w:gridCol w:w="534"/>
        <w:gridCol w:w="1134"/>
        <w:gridCol w:w="4252"/>
        <w:gridCol w:w="851"/>
        <w:gridCol w:w="567"/>
        <w:gridCol w:w="708"/>
        <w:gridCol w:w="851"/>
      </w:tblGrid>
      <w:tr w:rsidR="004E49EC" w:rsidTr="00861FD9">
        <w:tc>
          <w:tcPr>
            <w:tcW w:w="534" w:type="dxa"/>
            <w:vAlign w:val="center"/>
          </w:tcPr>
          <w:p w:rsidR="004E49EC" w:rsidRPr="0005670F" w:rsidRDefault="004E49EC" w:rsidP="00861FD9">
            <w:pPr>
              <w:jc w:val="center"/>
              <w:rPr>
                <w:rFonts w:asciiTheme="minorEastAsia" w:hAnsiTheme="minorEastAsia" w:cstheme="minorEastAsia"/>
                <w:b/>
                <w:szCs w:val="21"/>
              </w:rPr>
            </w:pPr>
            <w:r w:rsidRPr="0005670F">
              <w:rPr>
                <w:rFonts w:asciiTheme="minorEastAsia" w:hAnsiTheme="minorEastAsia" w:cstheme="minorEastAsia" w:hint="eastAsia"/>
                <w:b/>
                <w:szCs w:val="21"/>
              </w:rPr>
              <w:t>序号</w:t>
            </w:r>
          </w:p>
        </w:tc>
        <w:tc>
          <w:tcPr>
            <w:tcW w:w="1134" w:type="dxa"/>
            <w:vAlign w:val="center"/>
          </w:tcPr>
          <w:p w:rsidR="004E49EC" w:rsidRPr="0005670F" w:rsidRDefault="004E49EC" w:rsidP="00861FD9">
            <w:pPr>
              <w:jc w:val="center"/>
              <w:rPr>
                <w:rFonts w:asciiTheme="minorEastAsia" w:hAnsiTheme="minorEastAsia" w:cstheme="minorEastAsia"/>
                <w:b/>
                <w:szCs w:val="21"/>
              </w:rPr>
            </w:pPr>
            <w:r w:rsidRPr="0005670F">
              <w:rPr>
                <w:rFonts w:hint="eastAsia"/>
                <w:b/>
                <w:color w:val="000000"/>
                <w:sz w:val="22"/>
              </w:rPr>
              <w:t>货物（服务、工程）名称</w:t>
            </w:r>
          </w:p>
        </w:tc>
        <w:tc>
          <w:tcPr>
            <w:tcW w:w="4252" w:type="dxa"/>
            <w:vAlign w:val="center"/>
          </w:tcPr>
          <w:p w:rsidR="004E49EC" w:rsidRPr="0005670F" w:rsidRDefault="004E49EC" w:rsidP="00861FD9">
            <w:pPr>
              <w:jc w:val="center"/>
              <w:rPr>
                <w:rFonts w:asciiTheme="minorEastAsia" w:hAnsiTheme="minorEastAsia" w:cstheme="minorEastAsia"/>
                <w:b/>
                <w:szCs w:val="21"/>
              </w:rPr>
            </w:pPr>
            <w:r w:rsidRPr="0005670F">
              <w:rPr>
                <w:rFonts w:hint="eastAsia"/>
                <w:b/>
                <w:color w:val="000000"/>
                <w:sz w:val="22"/>
              </w:rPr>
              <w:t>规格型号</w:t>
            </w:r>
          </w:p>
        </w:tc>
        <w:tc>
          <w:tcPr>
            <w:tcW w:w="851" w:type="dxa"/>
            <w:vAlign w:val="center"/>
          </w:tcPr>
          <w:p w:rsidR="004E49EC" w:rsidRPr="0005670F" w:rsidRDefault="004E49EC" w:rsidP="00861FD9">
            <w:pPr>
              <w:jc w:val="center"/>
              <w:rPr>
                <w:rFonts w:asciiTheme="minorEastAsia" w:hAnsiTheme="minorEastAsia" w:cstheme="minorEastAsia"/>
                <w:b/>
                <w:szCs w:val="21"/>
              </w:rPr>
            </w:pPr>
            <w:r w:rsidRPr="0005670F">
              <w:rPr>
                <w:rFonts w:asciiTheme="minorEastAsia" w:hAnsiTheme="minorEastAsia" w:cstheme="minorEastAsia" w:hint="eastAsia"/>
                <w:b/>
                <w:szCs w:val="21"/>
              </w:rPr>
              <w:t>单价（元）</w:t>
            </w:r>
          </w:p>
        </w:tc>
        <w:tc>
          <w:tcPr>
            <w:tcW w:w="567" w:type="dxa"/>
            <w:vAlign w:val="center"/>
          </w:tcPr>
          <w:p w:rsidR="004E49EC" w:rsidRPr="0005670F" w:rsidRDefault="004E49EC" w:rsidP="00861FD9">
            <w:pPr>
              <w:jc w:val="center"/>
              <w:rPr>
                <w:rFonts w:asciiTheme="minorEastAsia" w:hAnsiTheme="minorEastAsia" w:cstheme="minorEastAsia"/>
                <w:b/>
                <w:szCs w:val="21"/>
              </w:rPr>
            </w:pPr>
            <w:r w:rsidRPr="0005670F">
              <w:rPr>
                <w:rFonts w:asciiTheme="minorEastAsia" w:hAnsiTheme="minorEastAsia" w:cstheme="minorEastAsia" w:hint="eastAsia"/>
                <w:b/>
                <w:szCs w:val="21"/>
              </w:rPr>
              <w:t>数量</w:t>
            </w:r>
          </w:p>
        </w:tc>
        <w:tc>
          <w:tcPr>
            <w:tcW w:w="708" w:type="dxa"/>
            <w:vAlign w:val="center"/>
          </w:tcPr>
          <w:p w:rsidR="004E49EC" w:rsidRPr="0005670F" w:rsidRDefault="004E49EC" w:rsidP="00861FD9">
            <w:pPr>
              <w:jc w:val="center"/>
              <w:rPr>
                <w:rFonts w:asciiTheme="minorEastAsia" w:hAnsiTheme="minorEastAsia" w:cstheme="minorEastAsia"/>
                <w:b/>
                <w:szCs w:val="21"/>
              </w:rPr>
            </w:pPr>
            <w:r w:rsidRPr="0005670F">
              <w:rPr>
                <w:rFonts w:asciiTheme="minorEastAsia" w:hAnsiTheme="minorEastAsia" w:cstheme="minorEastAsia" w:hint="eastAsia"/>
                <w:b/>
                <w:szCs w:val="21"/>
              </w:rPr>
              <w:t>单位</w:t>
            </w:r>
          </w:p>
        </w:tc>
        <w:tc>
          <w:tcPr>
            <w:tcW w:w="851" w:type="dxa"/>
            <w:vAlign w:val="center"/>
          </w:tcPr>
          <w:p w:rsidR="004E49EC" w:rsidRPr="0005670F" w:rsidRDefault="004E49EC" w:rsidP="00861FD9">
            <w:pPr>
              <w:jc w:val="center"/>
              <w:rPr>
                <w:rFonts w:asciiTheme="minorEastAsia" w:hAnsiTheme="minorEastAsia" w:cstheme="minorEastAsia"/>
                <w:b/>
                <w:szCs w:val="21"/>
              </w:rPr>
            </w:pPr>
            <w:r w:rsidRPr="0005670F">
              <w:rPr>
                <w:rFonts w:asciiTheme="minorEastAsia" w:hAnsiTheme="minorEastAsia" w:cstheme="minorEastAsia" w:hint="eastAsia"/>
                <w:b/>
                <w:szCs w:val="21"/>
              </w:rPr>
              <w:t>总价（元）</w:t>
            </w:r>
          </w:p>
        </w:tc>
      </w:tr>
      <w:tr w:rsidR="004E49EC" w:rsidTr="00861FD9">
        <w:tc>
          <w:tcPr>
            <w:tcW w:w="534" w:type="dxa"/>
            <w:vAlign w:val="center"/>
          </w:tcPr>
          <w:p w:rsidR="004E49EC" w:rsidRPr="00366CF6" w:rsidRDefault="004E49EC" w:rsidP="00861FD9">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134" w:type="dxa"/>
            <w:vAlign w:val="center"/>
          </w:tcPr>
          <w:p w:rsidR="004E49EC" w:rsidRDefault="004E49EC" w:rsidP="00861FD9">
            <w:pPr>
              <w:jc w:val="center"/>
              <w:rPr>
                <w:rFonts w:asciiTheme="minorEastAsia" w:hAnsiTheme="minorEastAsia" w:cstheme="minorEastAsia"/>
                <w:color w:val="000000"/>
                <w:kern w:val="0"/>
                <w:szCs w:val="21"/>
              </w:rPr>
            </w:pPr>
            <w:r>
              <w:rPr>
                <w:rFonts w:asciiTheme="minorEastAsia" w:hAnsiTheme="minorEastAsia" w:cstheme="minorEastAsia" w:hint="eastAsia"/>
                <w:szCs w:val="21"/>
              </w:rPr>
              <w:t>动力电池管理系统智能</w:t>
            </w:r>
            <w:proofErr w:type="gramStart"/>
            <w:r>
              <w:rPr>
                <w:rFonts w:asciiTheme="minorEastAsia" w:hAnsiTheme="minorEastAsia" w:cstheme="minorEastAsia" w:hint="eastAsia"/>
                <w:szCs w:val="21"/>
              </w:rPr>
              <w:t>实训台</w:t>
            </w:r>
            <w:proofErr w:type="gramEnd"/>
          </w:p>
        </w:tc>
        <w:tc>
          <w:tcPr>
            <w:tcW w:w="4252" w:type="dxa"/>
            <w:vAlign w:val="center"/>
          </w:tcPr>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技术要求：</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 xml:space="preserve">1. </w:t>
            </w:r>
            <w:proofErr w:type="gramStart"/>
            <w:r>
              <w:rPr>
                <w:rFonts w:asciiTheme="minorEastAsia" w:hAnsiTheme="minorEastAsia" w:cstheme="minorEastAsia" w:hint="eastAsia"/>
                <w:szCs w:val="21"/>
              </w:rPr>
              <w:t>实训台采用</w:t>
            </w:r>
            <w:proofErr w:type="gramEnd"/>
            <w:r>
              <w:rPr>
                <w:rFonts w:asciiTheme="minorEastAsia" w:hAnsiTheme="minorEastAsia" w:cstheme="minorEastAsia" w:hint="eastAsia"/>
                <w:szCs w:val="21"/>
              </w:rPr>
              <w:t>高性能嵌入式数字电池电路板，故障模拟板，ARM核心主控板，车用磷酸铁锂动力电池，台架动力电池组采用24节单体电池串联组成；</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2. 配备高压断电维修开关和紧急断电安全开关；</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3. 配置国标交流充电口，真实的与交流充电系统智能实训平台互联、充电，具有CC和CP控制充电系统；</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4. 安装负载，真实的放电管理；</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5. 安装有车载充电机，可通过CAN总线与BMS进行通信，方便充电管理；</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6. 配置超大触摸显示屏，多媒体端图形化动态显示；18.5寸16:10高分辨率液晶工业级显示屏，1080P（达到1920×1080的分辨率的显示格式）,全屏幕电容触摸触控面板，采用最新的显示方案技术，RTOS实时操作系统，内置高性能处理器，响应速率</w:t>
            </w:r>
            <w:proofErr w:type="gramStart"/>
            <w:r>
              <w:rPr>
                <w:rFonts w:asciiTheme="minorEastAsia" w:hAnsiTheme="minorEastAsia" w:cstheme="minorEastAsia" w:hint="eastAsia"/>
                <w:szCs w:val="21"/>
              </w:rPr>
              <w:t>高于安卓系统</w:t>
            </w:r>
            <w:proofErr w:type="gramEnd"/>
            <w:r>
              <w:rPr>
                <w:rFonts w:asciiTheme="minorEastAsia" w:hAnsiTheme="minorEastAsia" w:cstheme="minorEastAsia" w:hint="eastAsia"/>
                <w:szCs w:val="21"/>
              </w:rPr>
              <w:t>。全新UI设计带来友好的人机交互。</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7. 定制开发的RTOS操作系统，软件有考核系统及教学系统；</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（1）此系统共由模拟电池板PCBA、故障模拟板PCBA、核心主控板PCBA组成；</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（2）模拟电池板可以模拟实物电池的过充、过放、欠压等状态；系统由多组电池板组成，每块模拟电池</w:t>
            </w:r>
            <w:proofErr w:type="gramStart"/>
            <w:r>
              <w:rPr>
                <w:rFonts w:asciiTheme="minorEastAsia" w:hAnsiTheme="minorEastAsia" w:cstheme="minorEastAsia" w:hint="eastAsia"/>
                <w:szCs w:val="21"/>
              </w:rPr>
              <w:t>板均内</w:t>
            </w:r>
            <w:proofErr w:type="gramEnd"/>
            <w:r>
              <w:rPr>
                <w:rFonts w:asciiTheme="minorEastAsia" w:hAnsiTheme="minorEastAsia" w:cstheme="minorEastAsia" w:hint="eastAsia"/>
                <w:szCs w:val="21"/>
              </w:rPr>
              <w:t>嵌MCU高性能处理器。</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（3）故障模拟板可模拟电池线路断路故障；</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（4）核心主控板由高性能ARM处理器，高速</w:t>
            </w:r>
            <w:r>
              <w:rPr>
                <w:rFonts w:asciiTheme="minorEastAsia" w:hAnsiTheme="minorEastAsia" w:cstheme="minorEastAsia" w:hint="eastAsia"/>
                <w:szCs w:val="21"/>
              </w:rPr>
              <w:lastRenderedPageBreak/>
              <w:t>采集系统等组成，可自定义设置任意故障，与BMS系统实时通讯，实时显示BMS系统采集的信息；</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（5）整体系统软件与硬件均自主研发，拥有自有知识产权与相关专利。</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（6）考核系统：具有自定义故障设置、随机故障设置系统；</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（7）教学系统：有丰富的可视化课程资源、文本资源等</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（8）可以通过操作软件实现故障码读取、数据流的读取；</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（9）可通过操作软件实现单体电池电压检测、充放电电流检测、温度检测等；</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（10）通过操作软件对动力电池进行过充、过放、欠压、过温等故障设置；</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8. 具有4个检测工位，方便4名学生同时操作进行故障诊断，每个检测工位均把BMS检测线束并联接入；</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szCs w:val="21"/>
              </w:rPr>
              <w:t>9. 通过万用表、示波器对动力电池组和单体电池电压信号进行测量，找出故障点；</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bCs/>
                <w:szCs w:val="21"/>
              </w:rPr>
              <w:t>▲</w:t>
            </w:r>
            <w:r>
              <w:rPr>
                <w:rFonts w:asciiTheme="minorEastAsia" w:hAnsiTheme="minorEastAsia" w:cstheme="minorEastAsia" w:hint="eastAsia"/>
                <w:szCs w:val="21"/>
              </w:rPr>
              <w:t>为证明软件原始取得，投标时出具“新能源汽车在线考试认证软件平台”、“新能源汽车智能交互云服务软件”著作权登记证书复印件；</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bCs/>
                <w:szCs w:val="21"/>
              </w:rPr>
              <w:t>▲</w:t>
            </w:r>
            <w:r>
              <w:rPr>
                <w:rFonts w:asciiTheme="minorEastAsia" w:hAnsiTheme="minorEastAsia" w:cstheme="minorEastAsia" w:hint="eastAsia"/>
                <w:szCs w:val="21"/>
              </w:rPr>
              <w:t>符合2018年全国高职新能源技能大赛技术要求，提供生产厂家针对本项目的售后服务承诺书；</w:t>
            </w:r>
          </w:p>
          <w:p w:rsidR="004E49EC" w:rsidRDefault="004E49EC" w:rsidP="00861FD9">
            <w:pPr>
              <w:jc w:val="left"/>
              <w:rPr>
                <w:rFonts w:asciiTheme="minorEastAsia" w:hAnsiTheme="minorEastAsia" w:cstheme="minorEastAsia"/>
                <w:szCs w:val="21"/>
              </w:rPr>
            </w:pPr>
            <w:r>
              <w:rPr>
                <w:rFonts w:asciiTheme="minorEastAsia" w:hAnsiTheme="minorEastAsia" w:cstheme="minorEastAsia" w:hint="eastAsia"/>
                <w:bCs/>
                <w:szCs w:val="21"/>
              </w:rPr>
              <w:t>▲若投标人投标产品</w:t>
            </w:r>
            <w:proofErr w:type="gramStart"/>
            <w:r>
              <w:rPr>
                <w:rFonts w:asciiTheme="minorEastAsia" w:hAnsiTheme="minorEastAsia" w:cstheme="minorEastAsia" w:hint="eastAsia"/>
                <w:bCs/>
                <w:szCs w:val="21"/>
              </w:rPr>
              <w:t>非大赛</w:t>
            </w:r>
            <w:proofErr w:type="gramEnd"/>
            <w:r>
              <w:rPr>
                <w:rFonts w:asciiTheme="minorEastAsia" w:hAnsiTheme="minorEastAsia" w:cstheme="minorEastAsia" w:hint="eastAsia"/>
                <w:bCs/>
                <w:szCs w:val="21"/>
              </w:rPr>
              <w:t>指定型号，需要提供产品生产厂家技术参数符合招标要求的证明文件；如有虚假中标情况，按照招标法对中标人及制造商一起处罚。</w:t>
            </w:r>
          </w:p>
        </w:tc>
        <w:tc>
          <w:tcPr>
            <w:tcW w:w="851" w:type="dxa"/>
            <w:vAlign w:val="center"/>
          </w:tcPr>
          <w:p w:rsidR="004E49EC" w:rsidRPr="00394B88" w:rsidRDefault="004E49EC" w:rsidP="00861FD9">
            <w:pPr>
              <w:jc w:val="center"/>
              <w:rPr>
                <w:rFonts w:asciiTheme="minorEastAsia" w:hAnsiTheme="minorEastAsia" w:cstheme="minorEastAsia"/>
                <w:szCs w:val="21"/>
              </w:rPr>
            </w:pPr>
            <w:r>
              <w:rPr>
                <w:rFonts w:asciiTheme="minorEastAsia" w:hAnsiTheme="minorEastAsia" w:cstheme="minorEastAsia" w:hint="eastAsia"/>
                <w:szCs w:val="21"/>
              </w:rPr>
              <w:lastRenderedPageBreak/>
              <w:t>159800</w:t>
            </w:r>
          </w:p>
        </w:tc>
        <w:tc>
          <w:tcPr>
            <w:tcW w:w="567" w:type="dxa"/>
            <w:vAlign w:val="center"/>
          </w:tcPr>
          <w:p w:rsidR="004E49EC" w:rsidRPr="00394B88" w:rsidRDefault="004E49EC" w:rsidP="00861FD9">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08" w:type="dxa"/>
            <w:vAlign w:val="center"/>
          </w:tcPr>
          <w:p w:rsidR="004E49EC" w:rsidRPr="00394B88" w:rsidRDefault="004E49EC" w:rsidP="00861FD9">
            <w:pPr>
              <w:jc w:val="center"/>
              <w:rPr>
                <w:rFonts w:asciiTheme="minorEastAsia" w:hAnsiTheme="minorEastAsia" w:cstheme="minorEastAsia"/>
                <w:szCs w:val="21"/>
              </w:rPr>
            </w:pPr>
            <w:r>
              <w:rPr>
                <w:rFonts w:asciiTheme="minorEastAsia" w:hAnsiTheme="minorEastAsia" w:cstheme="minorEastAsia" w:hint="eastAsia"/>
                <w:szCs w:val="21"/>
              </w:rPr>
              <w:t>套</w:t>
            </w:r>
          </w:p>
        </w:tc>
        <w:tc>
          <w:tcPr>
            <w:tcW w:w="851" w:type="dxa"/>
            <w:vAlign w:val="center"/>
          </w:tcPr>
          <w:p w:rsidR="004E49EC" w:rsidRPr="00394B88" w:rsidRDefault="004E49EC" w:rsidP="00861FD9">
            <w:pPr>
              <w:jc w:val="center"/>
              <w:rPr>
                <w:rFonts w:asciiTheme="minorEastAsia" w:hAnsiTheme="minorEastAsia" w:cstheme="minorEastAsia"/>
                <w:szCs w:val="21"/>
              </w:rPr>
            </w:pPr>
            <w:r>
              <w:rPr>
                <w:rFonts w:asciiTheme="minorEastAsia" w:hAnsiTheme="minorEastAsia" w:cstheme="minorEastAsia" w:hint="eastAsia"/>
                <w:szCs w:val="21"/>
              </w:rPr>
              <w:t>15</w:t>
            </w:r>
            <w:bookmarkStart w:id="0" w:name="_GoBack"/>
            <w:bookmarkEnd w:id="0"/>
            <w:r>
              <w:rPr>
                <w:rFonts w:asciiTheme="minorEastAsia" w:hAnsiTheme="minorEastAsia" w:cstheme="minorEastAsia" w:hint="eastAsia"/>
                <w:szCs w:val="21"/>
              </w:rPr>
              <w:t>9800</w:t>
            </w:r>
          </w:p>
        </w:tc>
      </w:tr>
      <w:tr w:rsidR="004E49EC" w:rsidTr="00861FD9">
        <w:tc>
          <w:tcPr>
            <w:tcW w:w="8897" w:type="dxa"/>
            <w:gridSpan w:val="7"/>
            <w:vAlign w:val="center"/>
          </w:tcPr>
          <w:p w:rsidR="004E49EC" w:rsidRPr="00526983" w:rsidRDefault="004E49EC" w:rsidP="00861FD9">
            <w:pPr>
              <w:jc w:val="right"/>
              <w:rPr>
                <w:rFonts w:asciiTheme="minorEastAsia" w:hAnsiTheme="minorEastAsia" w:cstheme="minorEastAsia"/>
                <w:szCs w:val="21"/>
              </w:rPr>
            </w:pPr>
            <w:r w:rsidRPr="00526983">
              <w:rPr>
                <w:rFonts w:asciiTheme="minorEastAsia" w:hAnsiTheme="minorEastAsia" w:cstheme="minorEastAsia" w:hint="eastAsia"/>
                <w:szCs w:val="21"/>
              </w:rPr>
              <w:lastRenderedPageBreak/>
              <w:t>合计：</w:t>
            </w:r>
            <w:r>
              <w:rPr>
                <w:rFonts w:asciiTheme="minorEastAsia" w:hAnsiTheme="minorEastAsia" w:cstheme="minorEastAsia" w:hint="eastAsia"/>
                <w:b/>
                <w:szCs w:val="21"/>
              </w:rPr>
              <w:t>壹拾伍万玖仟捌佰</w:t>
            </w:r>
            <w:r w:rsidRPr="0001293A">
              <w:rPr>
                <w:rFonts w:asciiTheme="minorEastAsia" w:hAnsiTheme="minorEastAsia" w:cstheme="minorEastAsia" w:hint="eastAsia"/>
                <w:b/>
                <w:szCs w:val="21"/>
              </w:rPr>
              <w:t>元整（¥：</w:t>
            </w:r>
            <w:r>
              <w:rPr>
                <w:rFonts w:asciiTheme="minorEastAsia" w:hAnsiTheme="minorEastAsia" w:cstheme="minorEastAsia" w:hint="eastAsia"/>
                <w:b/>
                <w:szCs w:val="21"/>
              </w:rPr>
              <w:t>1598</w:t>
            </w:r>
            <w:r w:rsidRPr="0001293A">
              <w:rPr>
                <w:rFonts w:asciiTheme="minorEastAsia" w:hAnsiTheme="minorEastAsia" w:cstheme="minorEastAsia" w:hint="eastAsia"/>
                <w:b/>
                <w:szCs w:val="21"/>
              </w:rPr>
              <w:t>00.00）</w:t>
            </w:r>
          </w:p>
        </w:tc>
      </w:tr>
    </w:tbl>
    <w:p w:rsidR="004E49EC" w:rsidRPr="00161A74" w:rsidRDefault="004E49EC" w:rsidP="004E49EC">
      <w:pPr>
        <w:jc w:val="left"/>
        <w:rPr>
          <w:rFonts w:asciiTheme="minorEastAsia" w:hAnsiTheme="minorEastAsia" w:cstheme="minorEastAsia"/>
          <w:b/>
          <w:szCs w:val="21"/>
        </w:rPr>
      </w:pPr>
    </w:p>
    <w:p w:rsidR="004F644D" w:rsidRPr="004E49EC" w:rsidRDefault="004F644D" w:rsidP="004F644D">
      <w:pPr>
        <w:pStyle w:val="a9"/>
        <w:widowControl/>
        <w:ind w:left="720" w:firstLineChars="0" w:firstLine="0"/>
        <w:rPr>
          <w:rFonts w:ascii="宋体" w:eastAsia="宋体" w:hAnsi="宋体" w:cs="宋体"/>
          <w:b/>
          <w:bCs/>
          <w:color w:val="000000"/>
          <w:kern w:val="0"/>
          <w:sz w:val="28"/>
          <w:szCs w:val="28"/>
        </w:rPr>
      </w:pPr>
    </w:p>
    <w:p w:rsidR="0040559B" w:rsidRDefault="0040559B" w:rsidP="0040559B">
      <w:pPr>
        <w:autoSpaceDE w:val="0"/>
        <w:autoSpaceDN w:val="0"/>
        <w:adjustRightInd w:val="0"/>
        <w:snapToGrid w:val="0"/>
        <w:spacing w:line="360" w:lineRule="auto"/>
        <w:ind w:firstLineChars="200" w:firstLine="560"/>
        <w:rPr>
          <w:rFonts w:ascii="仿宋_GB2312" w:eastAsia="仿宋_GB2312" w:cs="宋体"/>
          <w:kern w:val="0"/>
          <w:sz w:val="28"/>
          <w:szCs w:val="28"/>
          <w:lang w:val="zh-CN"/>
        </w:rPr>
      </w:pPr>
      <w:r>
        <w:rPr>
          <w:rFonts w:ascii="仿宋_GB2312" w:eastAsia="仿宋_GB2312" w:hAnsi="华文仿宋" w:cs="宋体" w:hint="eastAsia"/>
          <w:kern w:val="0"/>
          <w:sz w:val="28"/>
          <w:szCs w:val="28"/>
        </w:rPr>
        <w:t>2、</w:t>
      </w:r>
      <w:r>
        <w:rPr>
          <w:rFonts w:ascii="仿宋_GB2312" w:eastAsia="仿宋_GB2312" w:cs="宋体" w:hint="eastAsia"/>
          <w:kern w:val="0"/>
          <w:sz w:val="28"/>
          <w:szCs w:val="28"/>
          <w:lang w:val="zh-CN"/>
        </w:rPr>
        <w:t>投标价不能超过预算金额，否则废标。</w:t>
      </w:r>
    </w:p>
    <w:p w:rsidR="0040559B" w:rsidRDefault="0040559B" w:rsidP="0040559B">
      <w:pPr>
        <w:pStyle w:val="a9"/>
        <w:ind w:firstLine="560"/>
        <w:rPr>
          <w:rFonts w:ascii="仿宋_GB2312" w:eastAsia="仿宋_GB2312" w:cs="宋体"/>
          <w:kern w:val="0"/>
          <w:sz w:val="28"/>
          <w:szCs w:val="28"/>
          <w:lang w:val="zh-CN"/>
        </w:rPr>
      </w:pPr>
      <w:r>
        <w:rPr>
          <w:rFonts w:ascii="仿宋_GB2312" w:eastAsia="仿宋_GB2312" w:cs="宋体" w:hint="eastAsia"/>
          <w:kern w:val="0"/>
          <w:sz w:val="28"/>
          <w:szCs w:val="28"/>
          <w:lang w:val="zh-CN"/>
        </w:rPr>
        <w:t>3、交货期限：中标人签订合同后，根据业主需要而进行供货。</w:t>
      </w:r>
    </w:p>
    <w:p w:rsidR="0040559B" w:rsidRDefault="0040559B" w:rsidP="0040559B">
      <w:pPr>
        <w:pStyle w:val="a9"/>
        <w:ind w:firstLine="560"/>
        <w:rPr>
          <w:rFonts w:ascii="仿宋_GB2312" w:eastAsia="仿宋_GB2312" w:cs="宋体"/>
          <w:kern w:val="0"/>
          <w:sz w:val="28"/>
          <w:szCs w:val="28"/>
          <w:lang w:val="zh-CN"/>
        </w:rPr>
      </w:pPr>
      <w:r>
        <w:rPr>
          <w:rFonts w:ascii="仿宋_GB2312" w:eastAsia="仿宋_GB2312" w:cs="宋体" w:hint="eastAsia"/>
          <w:kern w:val="0"/>
          <w:sz w:val="28"/>
          <w:szCs w:val="28"/>
          <w:lang w:val="zh-CN"/>
        </w:rPr>
        <w:t>4、付款方式：本项目无预付款，供货完成验收合格后，提供正式发票后，按双方约定的合同要求以转账方式付货款。</w:t>
      </w:r>
    </w:p>
    <w:p w:rsidR="0040559B" w:rsidRDefault="0040559B" w:rsidP="0040559B">
      <w:pPr>
        <w:widowControl/>
        <w:ind w:firstLineChars="200" w:firstLine="560"/>
        <w:jc w:val="left"/>
        <w:rPr>
          <w:rFonts w:ascii="仿宋_GB2312" w:eastAsia="仿宋_GB2312" w:cs="宋体"/>
          <w:kern w:val="0"/>
          <w:sz w:val="28"/>
          <w:szCs w:val="28"/>
          <w:lang w:val="zh-CN"/>
        </w:rPr>
      </w:pPr>
      <w:r>
        <w:rPr>
          <w:rFonts w:ascii="仿宋_GB2312" w:eastAsia="仿宋_GB2312" w:cs="宋体" w:hint="eastAsia"/>
          <w:kern w:val="0"/>
          <w:sz w:val="28"/>
          <w:szCs w:val="28"/>
          <w:lang w:val="zh-CN"/>
        </w:rPr>
        <w:t>5、中标人需严格按照合同要求进行。</w:t>
      </w:r>
    </w:p>
    <w:p w:rsidR="00072883" w:rsidRDefault="00171BE9">
      <w:pPr>
        <w:pStyle w:val="a9"/>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lastRenderedPageBreak/>
        <w:t>三、投标单位要求</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1、符合《中华人民共和国政府采购法》第二十二条规定</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2、须在工商行政管理部门和税务部门登记注册。</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3、营业执照须有招标项目的经营许可范围。</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4、本次询价不接受联合体报价。</w:t>
      </w:r>
    </w:p>
    <w:p w:rsidR="00072883" w:rsidRDefault="00171BE9">
      <w:pPr>
        <w:pStyle w:val="a9"/>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四、报价要求</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1、投标报价应包括开票税金等费用。</w:t>
      </w:r>
    </w:p>
    <w:p w:rsidR="00072883" w:rsidRDefault="00171BE9">
      <w:pPr>
        <w:pStyle w:val="a9"/>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2、投标方报价应考虑现场环境以及市场变化等暗含的各种因素，合同</w:t>
      </w:r>
      <w:proofErr w:type="gramStart"/>
      <w:r>
        <w:rPr>
          <w:rFonts w:ascii="华文仿宋" w:eastAsia="华文仿宋" w:hAnsi="华文仿宋" w:cs="华文仿宋" w:hint="eastAsia"/>
          <w:sz w:val="30"/>
          <w:szCs w:val="30"/>
        </w:rPr>
        <w:t>一</w:t>
      </w:r>
      <w:proofErr w:type="gramEnd"/>
      <w:r>
        <w:rPr>
          <w:rFonts w:ascii="华文仿宋" w:eastAsia="华文仿宋" w:hAnsi="华文仿宋" w:cs="华文仿宋" w:hint="eastAsia"/>
          <w:sz w:val="30"/>
          <w:szCs w:val="30"/>
        </w:rPr>
        <w:t>但确定，不再另增任何费用。</w:t>
      </w:r>
    </w:p>
    <w:p w:rsidR="00072883" w:rsidRDefault="00171BE9">
      <w:pPr>
        <w:pStyle w:val="a9"/>
        <w:spacing w:line="500" w:lineRule="exact"/>
        <w:ind w:firstLineChars="0" w:firstLine="0"/>
        <w:rPr>
          <w:rFonts w:ascii="华文仿宋" w:eastAsia="华文仿宋" w:hAnsi="华文仿宋" w:cs="华文仿宋"/>
          <w:sz w:val="30"/>
          <w:szCs w:val="30"/>
        </w:rPr>
      </w:pPr>
      <w:r>
        <w:rPr>
          <w:rFonts w:ascii="宋体" w:eastAsia="宋体" w:hAnsi="宋体" w:cs="宋体" w:hint="eastAsia"/>
          <w:b/>
          <w:bCs/>
          <w:color w:val="000000"/>
          <w:kern w:val="0"/>
          <w:sz w:val="28"/>
          <w:szCs w:val="28"/>
        </w:rPr>
        <w:t>五、投标文件递交</w:t>
      </w:r>
    </w:p>
    <w:p w:rsidR="007B58A3" w:rsidRDefault="007B58A3">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（一）、投标</w:t>
      </w:r>
      <w:proofErr w:type="gramStart"/>
      <w:r>
        <w:rPr>
          <w:rFonts w:ascii="华文仿宋" w:eastAsia="华文仿宋" w:hAnsi="华文仿宋" w:cs="华文仿宋" w:hint="eastAsia"/>
          <w:sz w:val="30"/>
          <w:szCs w:val="30"/>
        </w:rPr>
        <w:t>时资格</w:t>
      </w:r>
      <w:proofErr w:type="gramEnd"/>
      <w:r>
        <w:rPr>
          <w:rFonts w:ascii="华文仿宋" w:eastAsia="华文仿宋" w:hAnsi="华文仿宋" w:cs="华文仿宋" w:hint="eastAsia"/>
          <w:sz w:val="30"/>
          <w:szCs w:val="30"/>
        </w:rPr>
        <w:t>审查材料</w:t>
      </w:r>
    </w:p>
    <w:p w:rsidR="007B58A3" w:rsidRDefault="007B58A3">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1、有效营业执照副本复印件、有效资质证书副本复印件</w:t>
      </w:r>
    </w:p>
    <w:p w:rsidR="00E45ADB" w:rsidRDefault="007B58A3" w:rsidP="00E45ADB">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2、</w:t>
      </w:r>
      <w:r w:rsidR="00E45ADB">
        <w:rPr>
          <w:rFonts w:ascii="华文仿宋" w:eastAsia="华文仿宋" w:hAnsi="华文仿宋" w:cs="华文仿宋" w:hint="eastAsia"/>
          <w:sz w:val="30"/>
          <w:szCs w:val="30"/>
        </w:rPr>
        <w:t>法定代表人授权书原件和委托代理人身份证复印件及法定代表人身份证明和法定代表人身份证复印件。</w:t>
      </w:r>
    </w:p>
    <w:p w:rsidR="00E45ADB" w:rsidRDefault="00E45ADB" w:rsidP="00E45ADB">
      <w:pPr>
        <w:pStyle w:val="a9"/>
        <w:spacing w:line="500" w:lineRule="exact"/>
        <w:ind w:firstLineChars="0" w:firstLine="0"/>
        <w:rPr>
          <w:rFonts w:ascii="华文仿宋" w:eastAsia="华文仿宋" w:hAnsi="华文仿宋" w:cs="华文仿宋"/>
          <w:sz w:val="30"/>
          <w:szCs w:val="30"/>
        </w:rPr>
      </w:pPr>
      <w:r>
        <w:rPr>
          <w:rFonts w:ascii="华文仿宋" w:eastAsia="华文仿宋" w:hAnsi="华文仿宋" w:cs="华文仿宋" w:hint="eastAsia"/>
          <w:sz w:val="30"/>
          <w:szCs w:val="30"/>
        </w:rPr>
        <w:t>（二）、标书文件（以下文件需盖公章并密封）</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1、投标报价明细表</w:t>
      </w:r>
      <w:r w:rsidR="00E45ADB">
        <w:rPr>
          <w:rFonts w:ascii="华文仿宋" w:eastAsia="华文仿宋" w:hAnsi="华文仿宋" w:cs="华文仿宋" w:hint="eastAsia"/>
          <w:sz w:val="30"/>
          <w:szCs w:val="30"/>
        </w:rPr>
        <w:t>，参考（</w:t>
      </w:r>
      <w:r w:rsidR="00E45ADB" w:rsidRPr="005F3064">
        <w:rPr>
          <w:rFonts w:ascii="宋体" w:eastAsia="宋体" w:hAnsi="宋体" w:cs="宋体" w:hint="eastAsia"/>
          <w:bCs/>
          <w:color w:val="000000"/>
          <w:kern w:val="0"/>
          <w:sz w:val="28"/>
          <w:szCs w:val="28"/>
        </w:rPr>
        <w:t>项目要求及报价表</w:t>
      </w:r>
      <w:r w:rsidR="00E45ADB">
        <w:rPr>
          <w:rFonts w:ascii="华文仿宋" w:eastAsia="华文仿宋" w:hAnsi="华文仿宋" w:cs="华文仿宋" w:hint="eastAsia"/>
          <w:sz w:val="30"/>
          <w:szCs w:val="30"/>
        </w:rPr>
        <w:t>）</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2、有效营业执照副本复印件、有效资质证书副本复印件</w:t>
      </w:r>
      <w:bookmarkStart w:id="1" w:name="_Toc29942"/>
      <w:bookmarkStart w:id="2" w:name="_Toc18274"/>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3法定代表人授权书原件和委托代理人身份证复印件及法定代表人身份证明和法定代表人身份证复印件</w:t>
      </w:r>
      <w:bookmarkEnd w:id="1"/>
      <w:bookmarkEnd w:id="2"/>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4、法定代表人授权委托书</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5、公司业绩</w:t>
      </w:r>
      <w:r>
        <w:rPr>
          <w:rFonts w:ascii="华文仿宋" w:eastAsia="华文仿宋" w:hAnsi="华文仿宋" w:cs="华文仿宋"/>
          <w:sz w:val="30"/>
          <w:szCs w:val="30"/>
        </w:rPr>
        <w:t xml:space="preserve"> </w:t>
      </w:r>
    </w:p>
    <w:p w:rsidR="0040559B" w:rsidRDefault="0040559B" w:rsidP="0040559B">
      <w:pPr>
        <w:spacing w:line="500" w:lineRule="exac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六、询价采购文件的获取</w:t>
      </w:r>
    </w:p>
    <w:p w:rsidR="0040559B" w:rsidRDefault="0040559B" w:rsidP="0040559B">
      <w:pPr>
        <w:spacing w:line="500" w:lineRule="exact"/>
        <w:ind w:firstLineChars="200" w:firstLine="560"/>
        <w:rPr>
          <w:rFonts w:ascii="仿宋_GB2312" w:eastAsia="仿宋_GB2312" w:hAnsi="华文仿宋" w:cs="华文仿宋"/>
          <w:sz w:val="28"/>
          <w:szCs w:val="28"/>
        </w:rPr>
      </w:pPr>
      <w:r>
        <w:rPr>
          <w:rFonts w:ascii="仿宋_GB2312" w:eastAsia="仿宋_GB2312" w:hAnsi="华文仿宋" w:cs="华文仿宋" w:hint="eastAsia"/>
          <w:sz w:val="28"/>
          <w:szCs w:val="28"/>
        </w:rPr>
        <w:t>发售时间：本次采购无出售标书，凡有意参加投标者,请于 2018年12月</w:t>
      </w:r>
      <w:r w:rsidR="002067EC">
        <w:rPr>
          <w:rFonts w:ascii="仿宋_GB2312" w:eastAsia="仿宋_GB2312" w:hAnsi="华文仿宋" w:cs="华文仿宋" w:hint="eastAsia"/>
          <w:sz w:val="28"/>
          <w:szCs w:val="28"/>
        </w:rPr>
        <w:t>20</w:t>
      </w:r>
      <w:r>
        <w:rPr>
          <w:rFonts w:ascii="仿宋_GB2312" w:eastAsia="仿宋_GB2312" w:hAnsi="华文仿宋" w:cs="华文仿宋" w:hint="eastAsia"/>
          <w:sz w:val="28"/>
          <w:szCs w:val="28"/>
        </w:rPr>
        <w:t>日至2018年12月</w:t>
      </w:r>
      <w:r w:rsidR="002067EC">
        <w:rPr>
          <w:rFonts w:ascii="仿宋_GB2312" w:eastAsia="仿宋_GB2312" w:hAnsi="华文仿宋" w:cs="华文仿宋" w:hint="eastAsia"/>
          <w:sz w:val="28"/>
          <w:szCs w:val="28"/>
        </w:rPr>
        <w:t>25</w:t>
      </w:r>
      <w:r>
        <w:rPr>
          <w:rFonts w:ascii="仿宋_GB2312" w:eastAsia="仿宋_GB2312" w:hAnsi="华文仿宋" w:cs="华文仿宋" w:hint="eastAsia"/>
          <w:sz w:val="28"/>
          <w:szCs w:val="28"/>
        </w:rPr>
        <w:t xml:space="preserve">日递交询价文件。 </w:t>
      </w:r>
    </w:p>
    <w:p w:rsidR="0040559B" w:rsidRDefault="0040559B" w:rsidP="0040559B">
      <w:pPr>
        <w:spacing w:line="500" w:lineRule="exac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七、询价采购文件的递交截止时间</w:t>
      </w:r>
    </w:p>
    <w:p w:rsidR="0040559B" w:rsidRDefault="0040559B" w:rsidP="0040559B">
      <w:pPr>
        <w:spacing w:line="500" w:lineRule="exact"/>
        <w:ind w:firstLineChars="200" w:firstLine="560"/>
        <w:rPr>
          <w:rFonts w:ascii="仿宋_GB2312" w:eastAsia="仿宋_GB2312" w:hAnsi="华文仿宋" w:cs="华文仿宋"/>
          <w:sz w:val="28"/>
          <w:szCs w:val="28"/>
        </w:rPr>
      </w:pPr>
      <w:r>
        <w:rPr>
          <w:rFonts w:ascii="仿宋_GB2312" w:eastAsia="仿宋_GB2312" w:hAnsi="华文仿宋" w:cs="华文仿宋" w:hint="eastAsia"/>
          <w:sz w:val="28"/>
          <w:szCs w:val="28"/>
        </w:rPr>
        <w:t>文件递交的截止时间 ( 投标截止时间,下同 ) 为 2018年12月</w:t>
      </w:r>
      <w:r w:rsidR="002067EC">
        <w:rPr>
          <w:rFonts w:ascii="仿宋_GB2312" w:eastAsia="仿宋_GB2312" w:hAnsi="华文仿宋" w:cs="华文仿宋" w:hint="eastAsia"/>
          <w:sz w:val="28"/>
          <w:szCs w:val="28"/>
        </w:rPr>
        <w:t>25</w:t>
      </w:r>
      <w:r>
        <w:rPr>
          <w:rFonts w:ascii="仿宋_GB2312" w:eastAsia="仿宋_GB2312" w:hAnsi="华文仿宋" w:cs="华文仿宋" w:hint="eastAsia"/>
          <w:sz w:val="28"/>
          <w:szCs w:val="28"/>
        </w:rPr>
        <w:t>日16时00分为止。</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八、投标地址</w:t>
      </w:r>
    </w:p>
    <w:p w:rsidR="00072883" w:rsidRDefault="00171BE9">
      <w:pPr>
        <w:spacing w:line="500" w:lineRule="exact"/>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竞标人必须在投标截止时间前将投标文件送达广西交通职业技术学院</w:t>
      </w:r>
      <w:r w:rsidR="006D138E">
        <w:rPr>
          <w:rFonts w:ascii="华文仿宋" w:eastAsia="华文仿宋" w:hAnsi="华文仿宋" w:cs="华文仿宋" w:hint="eastAsia"/>
          <w:sz w:val="30"/>
          <w:szCs w:val="30"/>
        </w:rPr>
        <w:t>昆仑</w:t>
      </w:r>
      <w:r>
        <w:rPr>
          <w:rFonts w:ascii="华文仿宋" w:eastAsia="华文仿宋" w:hAnsi="华文仿宋" w:cs="华文仿宋" w:hint="eastAsia"/>
          <w:sz w:val="30"/>
          <w:szCs w:val="30"/>
        </w:rPr>
        <w:t>校区物流管理</w:t>
      </w:r>
      <w:proofErr w:type="gramStart"/>
      <w:r>
        <w:rPr>
          <w:rFonts w:ascii="华文仿宋" w:eastAsia="华文仿宋" w:hAnsi="华文仿宋" w:cs="华文仿宋" w:hint="eastAsia"/>
          <w:sz w:val="30"/>
          <w:szCs w:val="30"/>
        </w:rPr>
        <w:t>楼设备</w:t>
      </w:r>
      <w:proofErr w:type="gramEnd"/>
      <w:r>
        <w:rPr>
          <w:rFonts w:ascii="华文仿宋" w:eastAsia="华文仿宋" w:hAnsi="华文仿宋" w:cs="华文仿宋" w:hint="eastAsia"/>
          <w:sz w:val="30"/>
          <w:szCs w:val="30"/>
        </w:rPr>
        <w:t>处（202办公室）。逾期送达的或者未送达指定地点或者不按照招标文件要求密封的投标文件，招标人不予受理。</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九、评标方式</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采购询价</w:t>
      </w:r>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十、发布公告的媒介 </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本次招标公告在</w:t>
      </w:r>
      <w:proofErr w:type="gramStart"/>
      <w:r>
        <w:rPr>
          <w:rFonts w:ascii="华文仿宋" w:eastAsia="华文仿宋" w:hAnsi="华文仿宋" w:cs="华文仿宋" w:hint="eastAsia"/>
          <w:sz w:val="30"/>
          <w:szCs w:val="30"/>
        </w:rPr>
        <w:t>广西交通职业技术学院官网发布</w:t>
      </w:r>
      <w:proofErr w:type="gramEnd"/>
    </w:p>
    <w:p w:rsidR="00072883" w:rsidRDefault="00171BE9">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十一、监督部门 </w:t>
      </w:r>
    </w:p>
    <w:p w:rsidR="004F644D" w:rsidRDefault="00171BE9" w:rsidP="004F644D">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 xml:space="preserve">广西交通职业技术学院纪检监察审计室 </w:t>
      </w:r>
    </w:p>
    <w:p w:rsidR="004F644D" w:rsidRDefault="004F644D" w:rsidP="004F644D">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电话：0771-5650229</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招标人：广西交通职业技术学院</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 xml:space="preserve">地址: </w:t>
      </w:r>
      <w:r w:rsidR="006D138E">
        <w:rPr>
          <w:rFonts w:ascii="华文仿宋" w:eastAsia="华文仿宋" w:hAnsi="华文仿宋" w:cs="华文仿宋" w:hint="eastAsia"/>
          <w:sz w:val="30"/>
          <w:szCs w:val="30"/>
        </w:rPr>
        <w:t>南宁市昆仑大道1258号</w:t>
      </w:r>
      <w:r>
        <w:rPr>
          <w:rFonts w:ascii="华文仿宋" w:eastAsia="华文仿宋" w:hAnsi="华文仿宋" w:cs="华文仿宋" w:hint="eastAsia"/>
          <w:sz w:val="30"/>
          <w:szCs w:val="30"/>
        </w:rPr>
        <w:t>广西交通职业技术学院内</w:t>
      </w: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联系人：</w:t>
      </w:r>
      <w:r w:rsidR="00A175DD">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李老师    电话：</w:t>
      </w:r>
      <w:r w:rsidR="00A175DD">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0771-5</w:t>
      </w:r>
      <w:r w:rsidR="006D138E">
        <w:rPr>
          <w:rFonts w:ascii="华文仿宋" w:eastAsia="华文仿宋" w:hAnsi="华文仿宋" w:cs="华文仿宋" w:hint="eastAsia"/>
          <w:sz w:val="30"/>
          <w:szCs w:val="30"/>
        </w:rPr>
        <w:t>650355</w:t>
      </w:r>
    </w:p>
    <w:p w:rsidR="00072883" w:rsidRDefault="00072883">
      <w:pPr>
        <w:spacing w:line="500" w:lineRule="exact"/>
        <w:rPr>
          <w:rFonts w:ascii="华文仿宋" w:eastAsia="华文仿宋" w:hAnsi="华文仿宋" w:cs="华文仿宋"/>
          <w:sz w:val="30"/>
          <w:szCs w:val="30"/>
        </w:rPr>
      </w:pPr>
    </w:p>
    <w:p w:rsidR="00072883" w:rsidRDefault="00171BE9">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 xml:space="preserve">                              2018年</w:t>
      </w:r>
      <w:r w:rsidR="00331EA2">
        <w:rPr>
          <w:rFonts w:ascii="华文仿宋" w:eastAsia="华文仿宋" w:hAnsi="华文仿宋" w:cs="华文仿宋" w:hint="eastAsia"/>
          <w:sz w:val="30"/>
          <w:szCs w:val="30"/>
        </w:rPr>
        <w:t>1</w:t>
      </w:r>
      <w:r w:rsidR="00C0681C">
        <w:rPr>
          <w:rFonts w:ascii="华文仿宋" w:eastAsia="华文仿宋" w:hAnsi="华文仿宋" w:cs="华文仿宋" w:hint="eastAsia"/>
          <w:sz w:val="30"/>
          <w:szCs w:val="30"/>
        </w:rPr>
        <w:t>2</w:t>
      </w:r>
      <w:r>
        <w:rPr>
          <w:rFonts w:ascii="华文仿宋" w:eastAsia="华文仿宋" w:hAnsi="华文仿宋" w:cs="华文仿宋" w:hint="eastAsia"/>
          <w:sz w:val="30"/>
          <w:szCs w:val="30"/>
        </w:rPr>
        <w:t>月</w:t>
      </w:r>
      <w:r w:rsidR="002067EC">
        <w:rPr>
          <w:rFonts w:ascii="华文仿宋" w:eastAsia="华文仿宋" w:hAnsi="华文仿宋" w:cs="华文仿宋" w:hint="eastAsia"/>
          <w:sz w:val="30"/>
          <w:szCs w:val="30"/>
        </w:rPr>
        <w:t>20</w:t>
      </w:r>
      <w:r>
        <w:rPr>
          <w:rFonts w:ascii="华文仿宋" w:eastAsia="华文仿宋" w:hAnsi="华文仿宋" w:cs="华文仿宋" w:hint="eastAsia"/>
          <w:sz w:val="30"/>
          <w:szCs w:val="30"/>
        </w:rPr>
        <w:t>日</w:t>
      </w:r>
    </w:p>
    <w:p w:rsidR="00E45ADB" w:rsidRDefault="00E45ADB">
      <w:pPr>
        <w:spacing w:line="500" w:lineRule="exact"/>
        <w:rPr>
          <w:rFonts w:ascii="华文仿宋" w:eastAsia="华文仿宋" w:hAnsi="华文仿宋" w:cs="华文仿宋"/>
          <w:sz w:val="30"/>
          <w:szCs w:val="30"/>
        </w:rPr>
      </w:pPr>
    </w:p>
    <w:sectPr w:rsidR="00E45ADB">
      <w:pgSz w:w="11906" w:h="16838"/>
      <w:pgMar w:top="1440"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17" w:rsidRDefault="00F72217" w:rsidP="00243878">
      <w:r>
        <w:separator/>
      </w:r>
    </w:p>
  </w:endnote>
  <w:endnote w:type="continuationSeparator" w:id="0">
    <w:p w:rsidR="00F72217" w:rsidRDefault="00F72217" w:rsidP="0024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altName w:val="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17" w:rsidRDefault="00F72217" w:rsidP="00243878">
      <w:r>
        <w:separator/>
      </w:r>
    </w:p>
  </w:footnote>
  <w:footnote w:type="continuationSeparator" w:id="0">
    <w:p w:rsidR="00F72217" w:rsidRDefault="00F72217" w:rsidP="00243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start w:val="1"/>
      <w:numFmt w:val="chineseCounting"/>
      <w:suff w:val="nothing"/>
      <w:lvlText w:val="%1、"/>
      <w:lvlJc w:val="left"/>
    </w:lvl>
  </w:abstractNum>
  <w:abstractNum w:abstractNumId="1">
    <w:nsid w:val="57EB3C4D"/>
    <w:multiLevelType w:val="singleLevel"/>
    <w:tmpl w:val="57EB3C4D"/>
    <w:lvl w:ilvl="0">
      <w:start w:val="3"/>
      <w:numFmt w:val="decimal"/>
      <w:suff w:val="nothing"/>
      <w:lvlText w:val="%1、"/>
      <w:lvlJc w:val="left"/>
    </w:lvl>
  </w:abstractNum>
  <w:abstractNum w:abstractNumId="2">
    <w:nsid w:val="5965D9DA"/>
    <w:multiLevelType w:val="singleLevel"/>
    <w:tmpl w:val="5965D9DA"/>
    <w:lvl w:ilvl="0">
      <w:start w:val="1"/>
      <w:numFmt w:val="decimal"/>
      <w:suff w:val="nothing"/>
      <w:lvlText w:val="%1、"/>
      <w:lvlJc w:val="left"/>
    </w:lvl>
  </w:abstractNum>
  <w:abstractNum w:abstractNumId="3">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C"/>
    <w:rsid w:val="00004422"/>
    <w:rsid w:val="00025E8A"/>
    <w:rsid w:val="00025F9F"/>
    <w:rsid w:val="000606C0"/>
    <w:rsid w:val="00071846"/>
    <w:rsid w:val="00072883"/>
    <w:rsid w:val="00075FB8"/>
    <w:rsid w:val="000A0562"/>
    <w:rsid w:val="000C33E7"/>
    <w:rsid w:val="000E339E"/>
    <w:rsid w:val="00114FA5"/>
    <w:rsid w:val="0014286C"/>
    <w:rsid w:val="001517D8"/>
    <w:rsid w:val="00171BE9"/>
    <w:rsid w:val="00184D10"/>
    <w:rsid w:val="00186DBB"/>
    <w:rsid w:val="001A7358"/>
    <w:rsid w:val="001C5DB4"/>
    <w:rsid w:val="001D3E22"/>
    <w:rsid w:val="002067EC"/>
    <w:rsid w:val="00226BA6"/>
    <w:rsid w:val="002369FE"/>
    <w:rsid w:val="00243878"/>
    <w:rsid w:val="002540FE"/>
    <w:rsid w:val="00254F73"/>
    <w:rsid w:val="002846FD"/>
    <w:rsid w:val="00285EE2"/>
    <w:rsid w:val="00290C25"/>
    <w:rsid w:val="00290FD5"/>
    <w:rsid w:val="002B1552"/>
    <w:rsid w:val="002D1436"/>
    <w:rsid w:val="00320CFC"/>
    <w:rsid w:val="00322E73"/>
    <w:rsid w:val="0032678E"/>
    <w:rsid w:val="00327FA4"/>
    <w:rsid w:val="00331EA2"/>
    <w:rsid w:val="003349A3"/>
    <w:rsid w:val="00334FED"/>
    <w:rsid w:val="003455C5"/>
    <w:rsid w:val="00364B1F"/>
    <w:rsid w:val="003776A5"/>
    <w:rsid w:val="003B753C"/>
    <w:rsid w:val="003C5C14"/>
    <w:rsid w:val="003D52F4"/>
    <w:rsid w:val="003F7B2C"/>
    <w:rsid w:val="0040559B"/>
    <w:rsid w:val="00407A66"/>
    <w:rsid w:val="00416DAF"/>
    <w:rsid w:val="00430727"/>
    <w:rsid w:val="00442801"/>
    <w:rsid w:val="00443A40"/>
    <w:rsid w:val="00466F17"/>
    <w:rsid w:val="00470C60"/>
    <w:rsid w:val="004A28EE"/>
    <w:rsid w:val="004A2D37"/>
    <w:rsid w:val="004C196D"/>
    <w:rsid w:val="004C4A6D"/>
    <w:rsid w:val="004C6605"/>
    <w:rsid w:val="004E2502"/>
    <w:rsid w:val="004E49EC"/>
    <w:rsid w:val="004F152E"/>
    <w:rsid w:val="004F644D"/>
    <w:rsid w:val="005213AE"/>
    <w:rsid w:val="0055417C"/>
    <w:rsid w:val="005703D7"/>
    <w:rsid w:val="005957E0"/>
    <w:rsid w:val="005A224C"/>
    <w:rsid w:val="005A456F"/>
    <w:rsid w:val="005F3064"/>
    <w:rsid w:val="005F3A4B"/>
    <w:rsid w:val="00603095"/>
    <w:rsid w:val="0060676F"/>
    <w:rsid w:val="00640913"/>
    <w:rsid w:val="006460A5"/>
    <w:rsid w:val="00653954"/>
    <w:rsid w:val="00657705"/>
    <w:rsid w:val="00660A19"/>
    <w:rsid w:val="006716EF"/>
    <w:rsid w:val="00676DCC"/>
    <w:rsid w:val="006838EB"/>
    <w:rsid w:val="00684206"/>
    <w:rsid w:val="006A6B54"/>
    <w:rsid w:val="006D138E"/>
    <w:rsid w:val="00705A6D"/>
    <w:rsid w:val="00715257"/>
    <w:rsid w:val="00715B88"/>
    <w:rsid w:val="0072544E"/>
    <w:rsid w:val="007404FC"/>
    <w:rsid w:val="0074362B"/>
    <w:rsid w:val="00770D5E"/>
    <w:rsid w:val="007A3E0B"/>
    <w:rsid w:val="007A57B3"/>
    <w:rsid w:val="007B58A3"/>
    <w:rsid w:val="007D24C1"/>
    <w:rsid w:val="007D5D62"/>
    <w:rsid w:val="0081363F"/>
    <w:rsid w:val="00816CA9"/>
    <w:rsid w:val="00856285"/>
    <w:rsid w:val="00860132"/>
    <w:rsid w:val="00862589"/>
    <w:rsid w:val="008712B8"/>
    <w:rsid w:val="0087344D"/>
    <w:rsid w:val="00874DC3"/>
    <w:rsid w:val="008818A8"/>
    <w:rsid w:val="0088364F"/>
    <w:rsid w:val="00892F3B"/>
    <w:rsid w:val="0089599A"/>
    <w:rsid w:val="008A4A5A"/>
    <w:rsid w:val="008F321E"/>
    <w:rsid w:val="009065FD"/>
    <w:rsid w:val="0096679A"/>
    <w:rsid w:val="009918E5"/>
    <w:rsid w:val="009919E3"/>
    <w:rsid w:val="0099531E"/>
    <w:rsid w:val="009A3D5B"/>
    <w:rsid w:val="009D5C94"/>
    <w:rsid w:val="009E0E14"/>
    <w:rsid w:val="00A11C55"/>
    <w:rsid w:val="00A175DD"/>
    <w:rsid w:val="00A20C42"/>
    <w:rsid w:val="00A37C6B"/>
    <w:rsid w:val="00A714F7"/>
    <w:rsid w:val="00A7570A"/>
    <w:rsid w:val="00AA0D20"/>
    <w:rsid w:val="00AB4B11"/>
    <w:rsid w:val="00AB6FEF"/>
    <w:rsid w:val="00AD33BF"/>
    <w:rsid w:val="00AF6A9F"/>
    <w:rsid w:val="00B2179D"/>
    <w:rsid w:val="00B27BD5"/>
    <w:rsid w:val="00B47954"/>
    <w:rsid w:val="00B539EE"/>
    <w:rsid w:val="00B67A08"/>
    <w:rsid w:val="00B9317A"/>
    <w:rsid w:val="00B9332A"/>
    <w:rsid w:val="00BA2B20"/>
    <w:rsid w:val="00BD11E8"/>
    <w:rsid w:val="00BD7121"/>
    <w:rsid w:val="00BE34FB"/>
    <w:rsid w:val="00BE4711"/>
    <w:rsid w:val="00BF62D5"/>
    <w:rsid w:val="00C02496"/>
    <w:rsid w:val="00C0681C"/>
    <w:rsid w:val="00C13179"/>
    <w:rsid w:val="00C20AAA"/>
    <w:rsid w:val="00C52529"/>
    <w:rsid w:val="00C62DED"/>
    <w:rsid w:val="00C85EB0"/>
    <w:rsid w:val="00CB20A4"/>
    <w:rsid w:val="00CF3F33"/>
    <w:rsid w:val="00D31E0E"/>
    <w:rsid w:val="00D52A55"/>
    <w:rsid w:val="00D6280D"/>
    <w:rsid w:val="00D701DA"/>
    <w:rsid w:val="00DA7FD7"/>
    <w:rsid w:val="00DC35BC"/>
    <w:rsid w:val="00E175D1"/>
    <w:rsid w:val="00E41387"/>
    <w:rsid w:val="00E45ADB"/>
    <w:rsid w:val="00E574CE"/>
    <w:rsid w:val="00E95409"/>
    <w:rsid w:val="00F20CE8"/>
    <w:rsid w:val="00F4388E"/>
    <w:rsid w:val="00F53A5D"/>
    <w:rsid w:val="00F66BF4"/>
    <w:rsid w:val="00F72217"/>
    <w:rsid w:val="00F809F3"/>
    <w:rsid w:val="00FA3622"/>
    <w:rsid w:val="00FA7DCD"/>
    <w:rsid w:val="00FB4585"/>
    <w:rsid w:val="00FB5B5A"/>
    <w:rsid w:val="00FF65FA"/>
    <w:rsid w:val="085E5B1B"/>
    <w:rsid w:val="12107057"/>
    <w:rsid w:val="28E330F1"/>
    <w:rsid w:val="2B9A0352"/>
    <w:rsid w:val="4DB0226D"/>
    <w:rsid w:val="501D5CA9"/>
    <w:rsid w:val="54105874"/>
    <w:rsid w:val="575E01EB"/>
    <w:rsid w:val="7F6C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qFormat/>
    <w:rPr>
      <w:color w:val="0000FF"/>
      <w:u w:val="single"/>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 w:type="paragraph" w:styleId="aa">
    <w:name w:val="Balloon Text"/>
    <w:basedOn w:val="a"/>
    <w:link w:val="Char2"/>
    <w:uiPriority w:val="99"/>
    <w:semiHidden/>
    <w:unhideWhenUsed/>
    <w:rsid w:val="005957E0"/>
    <w:rPr>
      <w:sz w:val="18"/>
      <w:szCs w:val="18"/>
    </w:rPr>
  </w:style>
  <w:style w:type="character" w:customStyle="1" w:styleId="Char2">
    <w:name w:val="批注框文本 Char"/>
    <w:basedOn w:val="a0"/>
    <w:link w:val="aa"/>
    <w:uiPriority w:val="99"/>
    <w:semiHidden/>
    <w:rsid w:val="005957E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qFormat/>
    <w:rPr>
      <w:color w:val="0000FF"/>
      <w:u w:val="single"/>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 w:type="paragraph" w:styleId="aa">
    <w:name w:val="Balloon Text"/>
    <w:basedOn w:val="a"/>
    <w:link w:val="Char2"/>
    <w:uiPriority w:val="99"/>
    <w:semiHidden/>
    <w:unhideWhenUsed/>
    <w:rsid w:val="005957E0"/>
    <w:rPr>
      <w:sz w:val="18"/>
      <w:szCs w:val="18"/>
    </w:rPr>
  </w:style>
  <w:style w:type="character" w:customStyle="1" w:styleId="Char2">
    <w:name w:val="批注框文本 Char"/>
    <w:basedOn w:val="a0"/>
    <w:link w:val="aa"/>
    <w:uiPriority w:val="99"/>
    <w:semiHidden/>
    <w:rsid w:val="005957E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35275">
      <w:bodyDiv w:val="1"/>
      <w:marLeft w:val="0"/>
      <w:marRight w:val="0"/>
      <w:marTop w:val="0"/>
      <w:marBottom w:val="0"/>
      <w:divBdr>
        <w:top w:val="none" w:sz="0" w:space="0" w:color="auto"/>
        <w:left w:val="none" w:sz="0" w:space="0" w:color="auto"/>
        <w:bottom w:val="none" w:sz="0" w:space="0" w:color="auto"/>
        <w:right w:val="none" w:sz="0" w:space="0" w:color="auto"/>
      </w:divBdr>
    </w:div>
    <w:div w:id="1557619119">
      <w:bodyDiv w:val="1"/>
      <w:marLeft w:val="0"/>
      <w:marRight w:val="0"/>
      <w:marTop w:val="0"/>
      <w:marBottom w:val="0"/>
      <w:divBdr>
        <w:top w:val="none" w:sz="0" w:space="0" w:color="auto"/>
        <w:left w:val="none" w:sz="0" w:space="0" w:color="auto"/>
        <w:bottom w:val="none" w:sz="0" w:space="0" w:color="auto"/>
        <w:right w:val="none" w:sz="0" w:space="0" w:color="auto"/>
      </w:divBdr>
    </w:div>
    <w:div w:id="208001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EDF086-4070-4E2E-B40F-171A18B6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331</Words>
  <Characters>1892</Characters>
  <Application>Microsoft Office Word</Application>
  <DocSecurity>0</DocSecurity>
  <Lines>15</Lines>
  <Paragraphs>4</Paragraphs>
  <ScaleCrop>false</ScaleCrop>
  <Company>china</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kold</dc:creator>
  <cp:lastModifiedBy>Administrator</cp:lastModifiedBy>
  <cp:revision>5</cp:revision>
  <cp:lastPrinted>2018-11-23T03:36:00Z</cp:lastPrinted>
  <dcterms:created xsi:type="dcterms:W3CDTF">2018-12-18T02:56:00Z</dcterms:created>
  <dcterms:modified xsi:type="dcterms:W3CDTF">2018-12-20T07:20:00Z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