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jc w:val="center"/>
        <w:rPr>
          <w:rFonts w:ascii="宋体" w:hAnsi="宋体"/>
          <w:b/>
          <w:bCs/>
          <w:sz w:val="32"/>
          <w:szCs w:val="32"/>
        </w:rPr>
      </w:pPr>
    </w:p>
    <w:p>
      <w:pPr>
        <w:snapToGrid w:val="0"/>
        <w:spacing w:line="400" w:lineRule="exact"/>
        <w:jc w:val="center"/>
        <w:rPr>
          <w:rFonts w:ascii="宋体" w:hAnsi="宋体"/>
          <w:b/>
          <w:bCs/>
          <w:sz w:val="32"/>
          <w:szCs w:val="32"/>
        </w:rPr>
      </w:pPr>
      <w:r>
        <w:rPr>
          <w:rFonts w:hint="eastAsia" w:ascii="宋体" w:hAnsi="宋体"/>
          <w:b/>
          <w:bCs/>
          <w:sz w:val="32"/>
          <w:szCs w:val="32"/>
        </w:rPr>
        <w:t>《广西壮族自治区政府采购合同》</w:t>
      </w:r>
    </w:p>
    <w:p>
      <w:pPr>
        <w:snapToGrid w:val="0"/>
        <w:spacing w:line="400" w:lineRule="exact"/>
        <w:ind w:right="480" w:firstLine="5250" w:firstLineChars="2500"/>
        <w:rPr>
          <w:rFonts w:ascii="宋体" w:hAnsi="宋体"/>
          <w:bCs/>
          <w:szCs w:val="21"/>
        </w:rPr>
      </w:pPr>
    </w:p>
    <w:p>
      <w:pPr>
        <w:snapToGrid w:val="0"/>
        <w:spacing w:line="400" w:lineRule="exact"/>
        <w:ind w:right="480" w:firstLine="5250" w:firstLineChars="2500"/>
        <w:rPr>
          <w:rFonts w:ascii="宋体" w:hAnsi="宋体"/>
          <w:bCs/>
          <w:szCs w:val="21"/>
          <w:u w:val="single"/>
        </w:rPr>
      </w:pPr>
      <w:r>
        <w:rPr>
          <w:rFonts w:hint="eastAsia" w:ascii="宋体" w:hAnsi="宋体"/>
          <w:bCs/>
          <w:szCs w:val="21"/>
        </w:rPr>
        <w:t>合同编号：</w:t>
      </w:r>
    </w:p>
    <w:p>
      <w:pPr>
        <w:snapToGrid w:val="0"/>
        <w:spacing w:line="400" w:lineRule="exact"/>
        <w:rPr>
          <w:rFonts w:ascii="宋体" w:hAnsi="宋体"/>
          <w:szCs w:val="21"/>
        </w:rPr>
      </w:pPr>
    </w:p>
    <w:p>
      <w:pPr>
        <w:snapToGrid w:val="0"/>
        <w:spacing w:line="400" w:lineRule="exact"/>
        <w:rPr>
          <w:rFonts w:ascii="宋体" w:hAnsi="宋体"/>
          <w:szCs w:val="21"/>
          <w:u w:val="single"/>
        </w:rPr>
      </w:pPr>
      <w:r>
        <w:rPr>
          <w:rFonts w:hint="eastAsia" w:ascii="宋体" w:hAnsi="宋体"/>
          <w:szCs w:val="21"/>
        </w:rPr>
        <w:t>采购单位（甲方）</w:t>
      </w:r>
      <w:r>
        <w:rPr>
          <w:rFonts w:hint="eastAsia" w:ascii="宋体" w:hAnsi="宋体"/>
          <w:szCs w:val="21"/>
          <w:u w:val="single"/>
        </w:rPr>
        <w:t xml:space="preserve">    广西交通职业技术学院  </w:t>
      </w:r>
      <w:r>
        <w:rPr>
          <w:rFonts w:hint="eastAsia" w:ascii="宋体" w:hAnsi="宋体"/>
          <w:szCs w:val="21"/>
        </w:rPr>
        <w:t xml:space="preserve">  </w:t>
      </w:r>
      <w:r>
        <w:rPr>
          <w:rFonts w:hint="eastAsia" w:ascii="宋体" w:hAnsi="宋体"/>
          <w:spacing w:val="-20"/>
          <w:szCs w:val="21"/>
        </w:rPr>
        <w:t>采 购 计 划 号</w:t>
      </w:r>
      <w:r>
        <w:rPr>
          <w:rFonts w:hint="eastAsia" w:ascii="宋体" w:hAnsi="宋体"/>
          <w:szCs w:val="21"/>
          <w:u w:val="single"/>
        </w:rPr>
        <w:t xml:space="preserve">                     </w:t>
      </w:r>
    </w:p>
    <w:p>
      <w:pPr>
        <w:snapToGrid w:val="0"/>
        <w:spacing w:line="400" w:lineRule="exact"/>
        <w:rPr>
          <w:rFonts w:ascii="宋体" w:hAnsi="宋体"/>
          <w:szCs w:val="21"/>
          <w:u w:val="single"/>
        </w:rPr>
      </w:pPr>
      <w:r>
        <w:rPr>
          <w:rFonts w:hint="eastAsia" w:ascii="宋体" w:hAnsi="宋体"/>
          <w:szCs w:val="21"/>
        </w:rPr>
        <w:t>供 应 商（乙方）</w:t>
      </w:r>
      <w:r>
        <w:rPr>
          <w:rFonts w:hint="eastAsia" w:ascii="宋体" w:hAnsi="宋体"/>
          <w:szCs w:val="21"/>
          <w:u w:val="single"/>
        </w:rPr>
        <w:t xml:space="preserve">                          </w:t>
      </w:r>
      <w:r>
        <w:rPr>
          <w:rFonts w:hint="eastAsia" w:ascii="宋体" w:hAnsi="宋体"/>
          <w:szCs w:val="21"/>
        </w:rPr>
        <w:t xml:space="preserve">  </w:t>
      </w:r>
      <w:r>
        <w:rPr>
          <w:rFonts w:hint="eastAsia" w:ascii="宋体" w:hAnsi="宋体"/>
          <w:spacing w:val="-20"/>
          <w:szCs w:val="21"/>
        </w:rPr>
        <w:t>招  标  编  号</w:t>
      </w:r>
      <w:r>
        <w:rPr>
          <w:rFonts w:hint="eastAsia" w:ascii="宋体" w:hAnsi="宋体"/>
          <w:szCs w:val="21"/>
          <w:u w:val="single"/>
        </w:rPr>
        <w:t xml:space="preserve">                     </w:t>
      </w:r>
    </w:p>
    <w:p>
      <w:pPr>
        <w:snapToGrid w:val="0"/>
        <w:spacing w:line="400" w:lineRule="exact"/>
        <w:rPr>
          <w:rFonts w:ascii="宋体" w:hAnsi="宋体"/>
          <w:szCs w:val="21"/>
          <w:u w:val="single"/>
        </w:rPr>
      </w:pPr>
      <w:r>
        <w:rPr>
          <w:rFonts w:hint="eastAsia" w:ascii="宋体" w:hAnsi="宋体"/>
          <w:szCs w:val="21"/>
        </w:rPr>
        <w:t xml:space="preserve">签  订  地  点  </w:t>
      </w:r>
      <w:r>
        <w:rPr>
          <w:rFonts w:hint="eastAsia" w:ascii="宋体" w:hAnsi="宋体"/>
          <w:szCs w:val="21"/>
          <w:u w:val="single"/>
        </w:rPr>
        <w:t xml:space="preserve">                          </w:t>
      </w:r>
      <w:r>
        <w:rPr>
          <w:rFonts w:hint="eastAsia" w:ascii="宋体" w:hAnsi="宋体"/>
          <w:szCs w:val="21"/>
        </w:rPr>
        <w:t xml:space="preserve">  签 订 时 间</w:t>
      </w:r>
      <w:r>
        <w:rPr>
          <w:rFonts w:hint="eastAsia" w:ascii="宋体" w:hAnsi="宋体"/>
          <w:szCs w:val="21"/>
          <w:u w:val="single"/>
        </w:rPr>
        <w:t xml:space="preserve">                    </w:t>
      </w:r>
    </w:p>
    <w:p>
      <w:pPr>
        <w:snapToGrid w:val="0"/>
        <w:spacing w:line="400" w:lineRule="exact"/>
        <w:ind w:firstLine="420" w:firstLineChars="200"/>
        <w:rPr>
          <w:rFonts w:ascii="宋体" w:hAnsi="宋体"/>
          <w:szCs w:val="21"/>
        </w:rPr>
      </w:pPr>
    </w:p>
    <w:p>
      <w:pPr>
        <w:snapToGrid w:val="0"/>
        <w:spacing w:line="400" w:lineRule="exact"/>
        <w:ind w:firstLine="420" w:firstLineChars="200"/>
        <w:rPr>
          <w:rFonts w:ascii="宋体" w:hAnsi="宋体"/>
          <w:szCs w:val="21"/>
        </w:rPr>
      </w:pPr>
      <w:r>
        <w:rPr>
          <w:rFonts w:hint="eastAsia" w:ascii="宋体" w:hAnsi="宋体"/>
          <w:szCs w:val="21"/>
        </w:rPr>
        <w:t>根据《中华人民共和国政府采购法》、《中华人民共和国合同法》等法律、法规规定，按照招投标文件（采购文件）规定条款和中标（成交）供应商承诺，甲乙双方签订本合同。</w:t>
      </w:r>
    </w:p>
    <w:p>
      <w:pPr>
        <w:snapToGrid w:val="0"/>
        <w:spacing w:line="400" w:lineRule="exact"/>
        <w:ind w:firstLine="422" w:firstLineChars="200"/>
        <w:rPr>
          <w:rFonts w:ascii="宋体" w:hAnsi="宋体"/>
          <w:b/>
          <w:szCs w:val="21"/>
        </w:rPr>
      </w:pPr>
      <w:r>
        <w:rPr>
          <w:rFonts w:hint="eastAsia" w:ascii="宋体" w:hAnsi="宋体"/>
          <w:b/>
          <w:szCs w:val="21"/>
        </w:rPr>
        <w:t>第一条　合同标的</w:t>
      </w:r>
    </w:p>
    <w:p>
      <w:pPr>
        <w:snapToGrid w:val="0"/>
        <w:spacing w:line="400" w:lineRule="exact"/>
        <w:ind w:firstLine="420" w:firstLineChars="200"/>
        <w:rPr>
          <w:rFonts w:ascii="宋体" w:hAnsi="宋体"/>
          <w:szCs w:val="21"/>
        </w:rPr>
      </w:pPr>
      <w:r>
        <w:rPr>
          <w:rFonts w:hint="eastAsia" w:ascii="宋体" w:hAnsi="宋体"/>
          <w:szCs w:val="21"/>
        </w:rPr>
        <w:t>1、供货一览表</w:t>
      </w:r>
    </w:p>
    <w:tbl>
      <w:tblPr>
        <w:tblStyle w:val="10"/>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3767"/>
        <w:gridCol w:w="1134"/>
        <w:gridCol w:w="708"/>
        <w:gridCol w:w="851"/>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vAlign w:val="center"/>
          </w:tcPr>
          <w:p>
            <w:pPr>
              <w:snapToGrid w:val="0"/>
              <w:spacing w:line="400" w:lineRule="exact"/>
              <w:jc w:val="center"/>
              <w:rPr>
                <w:rFonts w:ascii="宋体" w:hAnsi="宋体"/>
                <w:szCs w:val="21"/>
              </w:rPr>
            </w:pPr>
            <w:r>
              <w:rPr>
                <w:rFonts w:hint="eastAsia" w:ascii="宋体" w:hAnsi="宋体"/>
                <w:szCs w:val="21"/>
              </w:rPr>
              <w:t>序号</w:t>
            </w:r>
          </w:p>
        </w:tc>
        <w:tc>
          <w:tcPr>
            <w:tcW w:w="1233" w:type="dxa"/>
            <w:vAlign w:val="center"/>
          </w:tcPr>
          <w:p>
            <w:pPr>
              <w:snapToGrid w:val="0"/>
              <w:spacing w:line="400" w:lineRule="exact"/>
              <w:jc w:val="center"/>
              <w:rPr>
                <w:rFonts w:ascii="宋体" w:hAnsi="宋体"/>
                <w:szCs w:val="21"/>
              </w:rPr>
            </w:pPr>
            <w:r>
              <w:rPr>
                <w:rFonts w:hint="eastAsia" w:ascii="宋体" w:hAnsi="宋体"/>
                <w:szCs w:val="21"/>
              </w:rPr>
              <w:t>产品名称</w:t>
            </w:r>
          </w:p>
        </w:tc>
        <w:tc>
          <w:tcPr>
            <w:tcW w:w="3767" w:type="dxa"/>
            <w:vAlign w:val="center"/>
          </w:tcPr>
          <w:p>
            <w:pPr>
              <w:widowControl/>
              <w:jc w:val="center"/>
              <w:rPr>
                <w:rFonts w:ascii="宋体" w:hAnsi="宋体"/>
                <w:szCs w:val="21"/>
              </w:rPr>
            </w:pPr>
            <w:r>
              <w:rPr>
                <w:rFonts w:hint="eastAsia" w:ascii="宋体" w:hAnsi="宋体"/>
                <w:szCs w:val="21"/>
              </w:rPr>
              <w:t>采购要求</w:t>
            </w:r>
          </w:p>
        </w:tc>
        <w:tc>
          <w:tcPr>
            <w:tcW w:w="1134" w:type="dxa"/>
            <w:vAlign w:val="center"/>
          </w:tcPr>
          <w:p>
            <w:pPr>
              <w:snapToGrid w:val="0"/>
              <w:spacing w:line="400" w:lineRule="exact"/>
              <w:jc w:val="center"/>
              <w:rPr>
                <w:rFonts w:ascii="宋体" w:hAnsi="宋体"/>
                <w:szCs w:val="21"/>
              </w:rPr>
            </w:pPr>
            <w:r>
              <w:rPr>
                <w:rFonts w:hint="eastAsia" w:ascii="宋体" w:hAnsi="宋体"/>
                <w:szCs w:val="21"/>
              </w:rPr>
              <w:t>数  量</w:t>
            </w:r>
          </w:p>
        </w:tc>
        <w:tc>
          <w:tcPr>
            <w:tcW w:w="708" w:type="dxa"/>
            <w:vAlign w:val="center"/>
          </w:tcPr>
          <w:p>
            <w:pPr>
              <w:snapToGrid w:val="0"/>
              <w:spacing w:line="400" w:lineRule="exact"/>
              <w:jc w:val="center"/>
              <w:rPr>
                <w:rFonts w:ascii="宋体" w:hAnsi="宋体"/>
                <w:szCs w:val="21"/>
              </w:rPr>
            </w:pPr>
            <w:r>
              <w:rPr>
                <w:rFonts w:hint="eastAsia" w:ascii="宋体" w:hAnsi="宋体"/>
                <w:szCs w:val="21"/>
              </w:rPr>
              <w:t>单位</w:t>
            </w:r>
          </w:p>
        </w:tc>
        <w:tc>
          <w:tcPr>
            <w:tcW w:w="851" w:type="dxa"/>
            <w:vAlign w:val="center"/>
          </w:tcPr>
          <w:p>
            <w:pPr>
              <w:snapToGrid w:val="0"/>
              <w:spacing w:line="400" w:lineRule="exact"/>
              <w:jc w:val="center"/>
              <w:rPr>
                <w:rFonts w:ascii="宋体" w:hAnsi="宋体"/>
                <w:szCs w:val="21"/>
              </w:rPr>
            </w:pPr>
            <w:r>
              <w:rPr>
                <w:rFonts w:hint="eastAsia" w:ascii="宋体" w:hAnsi="宋体"/>
                <w:szCs w:val="21"/>
              </w:rPr>
              <w:t>单  价</w:t>
            </w:r>
          </w:p>
          <w:p>
            <w:pPr>
              <w:snapToGrid w:val="0"/>
              <w:spacing w:line="400" w:lineRule="exact"/>
              <w:jc w:val="center"/>
              <w:rPr>
                <w:rFonts w:ascii="宋体" w:hAnsi="宋体"/>
                <w:szCs w:val="21"/>
              </w:rPr>
            </w:pPr>
            <w:r>
              <w:rPr>
                <w:rFonts w:hint="eastAsia" w:ascii="宋体" w:hAnsi="宋体"/>
                <w:szCs w:val="21"/>
              </w:rPr>
              <w:t>（元）</w:t>
            </w:r>
          </w:p>
        </w:tc>
        <w:tc>
          <w:tcPr>
            <w:tcW w:w="1138" w:type="dxa"/>
            <w:vAlign w:val="center"/>
          </w:tcPr>
          <w:p>
            <w:pPr>
              <w:snapToGrid w:val="0"/>
              <w:spacing w:line="400" w:lineRule="exact"/>
              <w:jc w:val="center"/>
              <w:rPr>
                <w:rFonts w:ascii="宋体" w:hAnsi="宋体"/>
                <w:szCs w:val="21"/>
              </w:rPr>
            </w:pPr>
            <w:r>
              <w:rPr>
                <w:rFonts w:hint="eastAsia" w:ascii="宋体" w:hAnsi="宋体"/>
                <w:szCs w:val="21"/>
              </w:rPr>
              <w:t>金  额</w:t>
            </w:r>
          </w:p>
          <w:p>
            <w:pPr>
              <w:snapToGrid w:val="0"/>
              <w:spacing w:line="400" w:lineRule="exact"/>
              <w:jc w:val="center"/>
              <w:rPr>
                <w:rFonts w:ascii="宋体" w:hAnsi="宋体"/>
                <w:szCs w:val="21"/>
              </w:rPr>
            </w:pPr>
            <w:r>
              <w:rPr>
                <w:rFonts w:hint="eastAsia" w:ascii="宋体" w:hAnsi="宋体"/>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pPr>
              <w:snapToGrid w:val="0"/>
              <w:spacing w:line="400" w:lineRule="exact"/>
              <w:jc w:val="center"/>
              <w:rPr>
                <w:rFonts w:ascii="宋体" w:hAnsi="宋体"/>
                <w:szCs w:val="21"/>
              </w:rPr>
            </w:pPr>
            <w:r>
              <w:rPr>
                <w:rFonts w:hint="eastAsia" w:ascii="宋体" w:hAnsi="宋体"/>
                <w:szCs w:val="21"/>
              </w:rPr>
              <w:t>1</w:t>
            </w:r>
          </w:p>
        </w:tc>
        <w:tc>
          <w:tcPr>
            <w:tcW w:w="1233" w:type="dxa"/>
            <w:vAlign w:val="center"/>
          </w:tcPr>
          <w:p>
            <w:pPr>
              <w:widowControl/>
              <w:spacing w:line="320" w:lineRule="exact"/>
              <w:jc w:val="center"/>
              <w:rPr>
                <w:rFonts w:ascii="仿宋" w:hAnsi="仿宋" w:eastAsia="仿宋" w:cs="宋体"/>
                <w:color w:val="000000"/>
                <w:kern w:val="0"/>
                <w:szCs w:val="21"/>
              </w:rPr>
            </w:pPr>
            <w:r>
              <w:rPr>
                <w:rFonts w:hint="eastAsia" w:asciiTheme="minorEastAsia" w:hAnsiTheme="minorEastAsia" w:cstheme="minorEastAsia"/>
                <w:kern w:val="44"/>
                <w:szCs w:val="21"/>
              </w:rPr>
              <w:t>广西交通职业技术学院2022届-2023届毕业生电子图像采集服务项目</w:t>
            </w:r>
          </w:p>
        </w:tc>
        <w:tc>
          <w:tcPr>
            <w:tcW w:w="3767" w:type="dxa"/>
            <w:vAlign w:val="center"/>
          </w:tcPr>
          <w:p>
            <w:pPr>
              <w:rPr>
                <w:rFonts w:asciiTheme="minorEastAsia" w:hAnsiTheme="minorEastAsia"/>
                <w:szCs w:val="21"/>
              </w:rPr>
            </w:pPr>
            <w:r>
              <w:rPr>
                <w:rFonts w:hint="eastAsia" w:asciiTheme="minorEastAsia" w:hAnsiTheme="minorEastAsia"/>
                <w:szCs w:val="21"/>
              </w:rPr>
              <w:t>1．图像采集以教育部下发的《高等学校学历证书像片信息采集标准》文件为参考标准，电子图片规格为120×160，头上部空1/10，头部占7/10，肩部占1/5，左右各空1/10；图片背景为浅蓝色；图片文件要求为JPG格式，原始电子图片尺寸不小于480×640像素；电子图片以身份证号命名，文件名为身份证号.jpg，上传电子照片大小为20-40KB。                         </w:t>
            </w:r>
          </w:p>
          <w:p>
            <w:pPr>
              <w:rPr>
                <w:rFonts w:asciiTheme="minorEastAsia" w:hAnsiTheme="minorEastAsia"/>
                <w:szCs w:val="21"/>
              </w:rPr>
            </w:pPr>
            <w:r>
              <w:rPr>
                <w:rFonts w:hint="eastAsia" w:asciiTheme="minorEastAsia" w:hAnsiTheme="minorEastAsia"/>
                <w:szCs w:val="21"/>
              </w:rPr>
              <w:t xml:space="preserve">2．纸质照片一版2寸的8张，按班级分好。照片须清晰、光滑、规整，背胶冲洗，粘性较好，手揭方便。纸质图片须含有校名、班级、学号、姓名、身份证号等信息，                                                     </w:t>
            </w:r>
          </w:p>
          <w:p>
            <w:pPr>
              <w:rPr>
                <w:rFonts w:asciiTheme="minorEastAsia" w:hAnsiTheme="minorEastAsia"/>
                <w:szCs w:val="21"/>
              </w:rPr>
            </w:pPr>
            <w:r>
              <w:rPr>
                <w:rFonts w:hint="eastAsia" w:asciiTheme="minorEastAsia" w:hAnsiTheme="minorEastAsia"/>
                <w:szCs w:val="21"/>
              </w:rPr>
              <w:t>3．电子照片须及时并逐一对应上传至中国高等教育学生信息网，并提供一张电子照片光盘。</w:t>
            </w:r>
          </w:p>
        </w:tc>
        <w:tc>
          <w:tcPr>
            <w:tcW w:w="1134" w:type="dxa"/>
            <w:vAlign w:val="center"/>
          </w:tcPr>
          <w:p>
            <w:pPr>
              <w:snapToGrid w:val="0"/>
              <w:spacing w:line="400" w:lineRule="exact"/>
              <w:jc w:val="center"/>
              <w:rPr>
                <w:rFonts w:ascii="宋体" w:hAnsi="宋体"/>
                <w:szCs w:val="21"/>
              </w:rPr>
            </w:pPr>
            <w:r>
              <w:rPr>
                <w:rFonts w:hint="eastAsia" w:ascii="宋体" w:hAnsi="宋体"/>
                <w:szCs w:val="21"/>
              </w:rPr>
              <w:t>7500</w:t>
            </w:r>
          </w:p>
        </w:tc>
        <w:tc>
          <w:tcPr>
            <w:tcW w:w="708" w:type="dxa"/>
            <w:vAlign w:val="center"/>
          </w:tcPr>
          <w:p>
            <w:pPr>
              <w:snapToGrid w:val="0"/>
              <w:spacing w:line="400" w:lineRule="exact"/>
              <w:jc w:val="center"/>
              <w:rPr>
                <w:rFonts w:ascii="宋体" w:hAnsi="宋体"/>
                <w:szCs w:val="21"/>
              </w:rPr>
            </w:pPr>
            <w:r>
              <w:rPr>
                <w:rFonts w:hint="eastAsia" w:ascii="宋体" w:hAnsi="宋体"/>
                <w:szCs w:val="21"/>
              </w:rPr>
              <w:t>人</w:t>
            </w:r>
          </w:p>
        </w:tc>
        <w:tc>
          <w:tcPr>
            <w:tcW w:w="851" w:type="dxa"/>
            <w:vAlign w:val="center"/>
          </w:tcPr>
          <w:p>
            <w:pPr>
              <w:snapToGrid w:val="0"/>
              <w:spacing w:line="400" w:lineRule="exact"/>
              <w:jc w:val="center"/>
              <w:rPr>
                <w:rFonts w:ascii="宋体" w:hAnsi="宋体"/>
                <w:szCs w:val="21"/>
              </w:rPr>
            </w:pPr>
          </w:p>
        </w:tc>
        <w:tc>
          <w:tcPr>
            <w:tcW w:w="1138" w:type="dxa"/>
            <w:vAlign w:val="center"/>
          </w:tcPr>
          <w:p>
            <w:pPr>
              <w:snapToGrid w:val="0"/>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pPr>
              <w:snapToGrid w:val="0"/>
              <w:spacing w:line="400" w:lineRule="exact"/>
              <w:jc w:val="center"/>
              <w:rPr>
                <w:rFonts w:ascii="宋体" w:hAnsi="宋体"/>
                <w:szCs w:val="21"/>
              </w:rPr>
            </w:pPr>
            <w:r>
              <w:rPr>
                <w:rFonts w:hint="eastAsia" w:ascii="宋体" w:hAnsi="宋体"/>
                <w:szCs w:val="21"/>
              </w:rPr>
              <w:t>2</w:t>
            </w:r>
          </w:p>
        </w:tc>
        <w:tc>
          <w:tcPr>
            <w:tcW w:w="1233" w:type="dxa"/>
            <w:vAlign w:val="center"/>
          </w:tcPr>
          <w:p>
            <w:pPr>
              <w:snapToGrid w:val="0"/>
              <w:spacing w:line="400" w:lineRule="exact"/>
              <w:jc w:val="center"/>
              <w:rPr>
                <w:rFonts w:ascii="宋体" w:hAnsi="宋体"/>
                <w:szCs w:val="21"/>
              </w:rPr>
            </w:pPr>
          </w:p>
        </w:tc>
        <w:tc>
          <w:tcPr>
            <w:tcW w:w="3767" w:type="dxa"/>
            <w:vAlign w:val="center"/>
          </w:tcPr>
          <w:p>
            <w:pPr>
              <w:snapToGrid w:val="0"/>
              <w:spacing w:line="400" w:lineRule="exact"/>
              <w:jc w:val="center"/>
              <w:rPr>
                <w:rFonts w:ascii="宋体" w:hAnsi="宋体"/>
                <w:szCs w:val="21"/>
              </w:rPr>
            </w:pPr>
          </w:p>
        </w:tc>
        <w:tc>
          <w:tcPr>
            <w:tcW w:w="1134" w:type="dxa"/>
          </w:tcPr>
          <w:p>
            <w:pPr>
              <w:snapToGrid w:val="0"/>
              <w:spacing w:line="400" w:lineRule="exact"/>
              <w:jc w:val="center"/>
              <w:rPr>
                <w:rFonts w:ascii="宋体" w:hAnsi="宋体"/>
                <w:szCs w:val="21"/>
              </w:rPr>
            </w:pPr>
          </w:p>
        </w:tc>
        <w:tc>
          <w:tcPr>
            <w:tcW w:w="708" w:type="dxa"/>
          </w:tcPr>
          <w:p>
            <w:pPr>
              <w:snapToGrid w:val="0"/>
              <w:spacing w:line="400" w:lineRule="exact"/>
              <w:jc w:val="center"/>
              <w:rPr>
                <w:rFonts w:ascii="宋体" w:hAnsi="宋体"/>
                <w:szCs w:val="21"/>
              </w:rPr>
            </w:pPr>
          </w:p>
        </w:tc>
        <w:tc>
          <w:tcPr>
            <w:tcW w:w="851" w:type="dxa"/>
            <w:vAlign w:val="center"/>
          </w:tcPr>
          <w:p>
            <w:pPr>
              <w:snapToGrid w:val="0"/>
              <w:spacing w:line="400" w:lineRule="exact"/>
              <w:jc w:val="center"/>
              <w:rPr>
                <w:rFonts w:ascii="宋体" w:hAnsi="宋体"/>
                <w:szCs w:val="21"/>
              </w:rPr>
            </w:pPr>
          </w:p>
        </w:tc>
        <w:tc>
          <w:tcPr>
            <w:tcW w:w="1138" w:type="dxa"/>
            <w:vAlign w:val="center"/>
          </w:tcPr>
          <w:p>
            <w:pPr>
              <w:snapToGrid w:val="0"/>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pPr>
              <w:snapToGrid w:val="0"/>
              <w:spacing w:line="400" w:lineRule="exact"/>
              <w:jc w:val="center"/>
              <w:rPr>
                <w:rFonts w:ascii="宋体" w:hAnsi="宋体"/>
                <w:szCs w:val="21"/>
              </w:rPr>
            </w:pPr>
            <w:r>
              <w:rPr>
                <w:rFonts w:hint="eastAsia" w:ascii="宋体" w:hAnsi="宋体"/>
                <w:szCs w:val="21"/>
              </w:rPr>
              <w:t>3</w:t>
            </w:r>
          </w:p>
        </w:tc>
        <w:tc>
          <w:tcPr>
            <w:tcW w:w="1233" w:type="dxa"/>
            <w:vAlign w:val="center"/>
          </w:tcPr>
          <w:p>
            <w:pPr>
              <w:snapToGrid w:val="0"/>
              <w:spacing w:line="400" w:lineRule="exact"/>
              <w:jc w:val="center"/>
              <w:rPr>
                <w:rFonts w:ascii="宋体" w:hAnsi="宋体"/>
                <w:szCs w:val="21"/>
              </w:rPr>
            </w:pPr>
          </w:p>
        </w:tc>
        <w:tc>
          <w:tcPr>
            <w:tcW w:w="3767" w:type="dxa"/>
            <w:vAlign w:val="center"/>
          </w:tcPr>
          <w:p>
            <w:pPr>
              <w:snapToGrid w:val="0"/>
              <w:spacing w:line="400" w:lineRule="exact"/>
              <w:jc w:val="center"/>
              <w:rPr>
                <w:rFonts w:ascii="宋体" w:hAnsi="宋体"/>
                <w:szCs w:val="21"/>
              </w:rPr>
            </w:pPr>
          </w:p>
        </w:tc>
        <w:tc>
          <w:tcPr>
            <w:tcW w:w="1134" w:type="dxa"/>
          </w:tcPr>
          <w:p>
            <w:pPr>
              <w:snapToGrid w:val="0"/>
              <w:spacing w:line="400" w:lineRule="exact"/>
              <w:jc w:val="center"/>
              <w:rPr>
                <w:rFonts w:ascii="宋体" w:hAnsi="宋体"/>
                <w:szCs w:val="21"/>
              </w:rPr>
            </w:pPr>
          </w:p>
        </w:tc>
        <w:tc>
          <w:tcPr>
            <w:tcW w:w="708" w:type="dxa"/>
          </w:tcPr>
          <w:p>
            <w:pPr>
              <w:snapToGrid w:val="0"/>
              <w:spacing w:line="400" w:lineRule="exact"/>
              <w:jc w:val="center"/>
              <w:rPr>
                <w:rFonts w:ascii="宋体" w:hAnsi="宋体"/>
                <w:szCs w:val="21"/>
              </w:rPr>
            </w:pPr>
          </w:p>
        </w:tc>
        <w:tc>
          <w:tcPr>
            <w:tcW w:w="851" w:type="dxa"/>
            <w:vAlign w:val="center"/>
          </w:tcPr>
          <w:p>
            <w:pPr>
              <w:snapToGrid w:val="0"/>
              <w:spacing w:line="400" w:lineRule="exact"/>
              <w:jc w:val="center"/>
              <w:rPr>
                <w:rFonts w:ascii="宋体" w:hAnsi="宋体"/>
                <w:szCs w:val="21"/>
              </w:rPr>
            </w:pPr>
          </w:p>
        </w:tc>
        <w:tc>
          <w:tcPr>
            <w:tcW w:w="1138" w:type="dxa"/>
            <w:vAlign w:val="center"/>
          </w:tcPr>
          <w:p>
            <w:pPr>
              <w:snapToGrid w:val="0"/>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540" w:type="dxa"/>
            <w:gridSpan w:val="7"/>
            <w:vAlign w:val="center"/>
          </w:tcPr>
          <w:p>
            <w:pPr>
              <w:snapToGrid w:val="0"/>
              <w:spacing w:line="400" w:lineRule="exact"/>
              <w:rPr>
                <w:rFonts w:ascii="宋体" w:hAnsi="宋体"/>
                <w:szCs w:val="21"/>
              </w:rPr>
            </w:pPr>
            <w:r>
              <w:rPr>
                <w:rFonts w:hint="eastAsia" w:ascii="宋体" w:hAnsi="宋体"/>
                <w:szCs w:val="21"/>
              </w:rPr>
              <w:t>人民币合计金额：</w:t>
            </w:r>
            <w:bookmarkStart w:id="0" w:name="_GoBack"/>
            <w:bookmarkEnd w:id="0"/>
          </w:p>
        </w:tc>
      </w:tr>
    </w:tbl>
    <w:p>
      <w:pPr>
        <w:snapToGrid w:val="0"/>
        <w:spacing w:line="400" w:lineRule="exact"/>
        <w:ind w:right="52" w:firstLine="420" w:firstLineChars="200"/>
        <w:rPr>
          <w:rFonts w:ascii="宋体" w:hAnsi="宋体"/>
          <w:szCs w:val="21"/>
        </w:rPr>
      </w:pPr>
      <w:r>
        <w:rPr>
          <w:rFonts w:hint="eastAsia" w:ascii="宋体" w:hAnsi="宋体"/>
          <w:szCs w:val="21"/>
        </w:rPr>
        <w:t>2、合同合计金额包括货物价款，备件、专用工具、安装、调试、检验、技术培训及技术资料和包装、运输等全部费用。如招竞争性谈判文件对其另有规定的，从其规定。</w:t>
      </w:r>
    </w:p>
    <w:p>
      <w:pPr>
        <w:snapToGrid w:val="0"/>
        <w:spacing w:line="400" w:lineRule="exact"/>
        <w:ind w:firstLine="422" w:firstLineChars="200"/>
        <w:rPr>
          <w:rFonts w:ascii="宋体" w:hAnsi="宋体"/>
          <w:szCs w:val="21"/>
        </w:rPr>
      </w:pPr>
      <w:r>
        <w:rPr>
          <w:rFonts w:hint="eastAsia" w:ascii="宋体" w:hAnsi="宋体"/>
          <w:b/>
          <w:szCs w:val="21"/>
        </w:rPr>
        <w:t>第二条　质量保证</w:t>
      </w:r>
    </w:p>
    <w:p>
      <w:pPr>
        <w:snapToGrid w:val="0"/>
        <w:spacing w:line="400" w:lineRule="exact"/>
        <w:ind w:firstLine="420" w:firstLineChars="200"/>
        <w:rPr>
          <w:rFonts w:ascii="宋体" w:hAnsi="宋体"/>
          <w:szCs w:val="21"/>
        </w:rPr>
      </w:pPr>
      <w:r>
        <w:rPr>
          <w:rFonts w:hint="eastAsia" w:ascii="宋体" w:hAnsi="宋体"/>
          <w:szCs w:val="21"/>
        </w:rPr>
        <w:t>1、乙方所提供的货物型号、技术规格、技术参数等质量必须与招投标文件和承诺相一致。乙方提供的节能和环保产品必须是列入政府采购清单的产品。</w:t>
      </w:r>
    </w:p>
    <w:p>
      <w:pPr>
        <w:snapToGrid w:val="0"/>
        <w:spacing w:line="400" w:lineRule="exact"/>
        <w:ind w:firstLine="420" w:firstLineChars="200"/>
        <w:rPr>
          <w:rFonts w:ascii="宋体" w:hAnsi="宋体"/>
          <w:szCs w:val="21"/>
          <w:u w:val="single"/>
        </w:rPr>
      </w:pPr>
      <w:r>
        <w:rPr>
          <w:rFonts w:hint="eastAsia" w:ascii="宋体" w:hAnsi="宋体"/>
          <w:szCs w:val="21"/>
        </w:rPr>
        <w:t>2、乙方所提供的货物必须是全新、未使用的原装产品，且在正常安装、使用和保养条件下，其使用寿命期内各项指标均达到质量要求。</w:t>
      </w:r>
    </w:p>
    <w:p>
      <w:pPr>
        <w:snapToGrid w:val="0"/>
        <w:spacing w:line="400" w:lineRule="exact"/>
        <w:ind w:firstLine="422" w:firstLineChars="200"/>
        <w:rPr>
          <w:rFonts w:ascii="宋体" w:hAnsi="宋体"/>
          <w:szCs w:val="21"/>
        </w:rPr>
      </w:pPr>
      <w:r>
        <w:rPr>
          <w:rFonts w:hint="eastAsia" w:ascii="宋体" w:hAnsi="宋体"/>
          <w:b/>
          <w:szCs w:val="21"/>
        </w:rPr>
        <w:t>第三条　权利保证</w:t>
      </w:r>
    </w:p>
    <w:p>
      <w:pPr>
        <w:snapToGrid w:val="0"/>
        <w:spacing w:line="400" w:lineRule="exact"/>
        <w:ind w:firstLine="420" w:firstLineChars="200"/>
        <w:rPr>
          <w:rFonts w:ascii="宋体" w:hAnsi="宋体"/>
          <w:szCs w:val="21"/>
        </w:rPr>
      </w:pPr>
      <w:r>
        <w:rPr>
          <w:rFonts w:hint="eastAsia" w:ascii="宋体" w:hAnsi="宋体"/>
          <w:szCs w:val="21"/>
        </w:rPr>
        <w:t>乙方应保证所提供货物在使用时不会侵犯任何第三方的专利权、商标权、工业设计权或其他权利。</w:t>
      </w:r>
    </w:p>
    <w:p>
      <w:pPr>
        <w:snapToGrid w:val="0"/>
        <w:spacing w:line="400" w:lineRule="exact"/>
        <w:ind w:firstLine="420" w:firstLineChars="200"/>
        <w:rPr>
          <w:rFonts w:ascii="宋体" w:hAnsi="宋体"/>
          <w:szCs w:val="21"/>
        </w:rPr>
      </w:pPr>
      <w:r>
        <w:rPr>
          <w:rFonts w:hint="eastAsia" w:ascii="宋体" w:hAnsi="宋体"/>
          <w:szCs w:val="21"/>
        </w:rPr>
        <w:t>乙方应按采购文件规定的时间向甲方提供使用货物的有关技术资料。</w:t>
      </w:r>
    </w:p>
    <w:p>
      <w:pPr>
        <w:snapToGrid w:val="0"/>
        <w:spacing w:line="400" w:lineRule="exact"/>
        <w:ind w:firstLine="420" w:firstLineChars="200"/>
        <w:rPr>
          <w:rFonts w:ascii="宋体" w:hAnsi="宋体"/>
          <w:szCs w:val="21"/>
        </w:rPr>
      </w:pPr>
      <w:r>
        <w:rPr>
          <w:rFonts w:hint="eastAsia" w:ascii="宋体" w:hAnsi="宋体"/>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400" w:lineRule="exact"/>
        <w:ind w:firstLine="420" w:firstLineChars="200"/>
        <w:rPr>
          <w:rFonts w:ascii="宋体" w:hAnsi="宋体"/>
          <w:szCs w:val="21"/>
        </w:rPr>
      </w:pPr>
      <w:r>
        <w:rPr>
          <w:rFonts w:hint="eastAsia" w:ascii="宋体" w:hAnsi="宋体"/>
          <w:szCs w:val="21"/>
        </w:rPr>
        <w:t>乙方保证所交付的货物的所有权完全属于乙方且无任何抵押、质押、查封等产权瑕疵。</w:t>
      </w:r>
    </w:p>
    <w:p>
      <w:pPr>
        <w:snapToGrid w:val="0"/>
        <w:spacing w:line="400" w:lineRule="exact"/>
        <w:ind w:firstLine="422" w:firstLineChars="200"/>
        <w:rPr>
          <w:rFonts w:ascii="宋体" w:hAnsi="宋体"/>
          <w:b/>
          <w:szCs w:val="21"/>
        </w:rPr>
      </w:pPr>
      <w:r>
        <w:rPr>
          <w:rFonts w:hint="eastAsia" w:ascii="宋体" w:hAnsi="宋体"/>
          <w:b/>
          <w:szCs w:val="21"/>
        </w:rPr>
        <w:t>第四条　包装和运输</w:t>
      </w:r>
    </w:p>
    <w:p>
      <w:pPr>
        <w:snapToGrid w:val="0"/>
        <w:spacing w:line="400" w:lineRule="exact"/>
        <w:ind w:firstLine="420" w:firstLineChars="200"/>
        <w:rPr>
          <w:rFonts w:ascii="宋体" w:hAnsi="宋体"/>
          <w:szCs w:val="21"/>
        </w:rPr>
      </w:pPr>
      <w:r>
        <w:rPr>
          <w:rFonts w:hint="eastAsia" w:ascii="宋体" w:hAnsi="宋体"/>
          <w:szCs w:val="21"/>
        </w:rPr>
        <w:t>1、乙方提供的货物均应按招投标文件要求的包装材料、包装标准、包装方式进行包装，每一包装单元内应附详细的装箱单和质量合格证。</w:t>
      </w:r>
    </w:p>
    <w:p>
      <w:pPr>
        <w:snapToGrid w:val="0"/>
        <w:spacing w:line="400" w:lineRule="exact"/>
        <w:ind w:firstLine="420" w:firstLineChars="200"/>
        <w:rPr>
          <w:rFonts w:ascii="宋体" w:hAnsi="宋体"/>
          <w:szCs w:val="21"/>
        </w:rPr>
      </w:pPr>
      <w:r>
        <w:rPr>
          <w:rFonts w:hint="eastAsia" w:ascii="宋体" w:hAnsi="宋体"/>
          <w:szCs w:val="21"/>
        </w:rPr>
        <w:t>2、货物的运输方式：</w:t>
      </w:r>
      <w:r>
        <w:rPr>
          <w:rFonts w:hint="eastAsia" w:ascii="宋体" w:hAnsi="宋体"/>
          <w:szCs w:val="21"/>
          <w:u w:val="single"/>
        </w:rPr>
        <w:t xml:space="preserve">  不限   </w:t>
      </w:r>
      <w:r>
        <w:rPr>
          <w:rFonts w:hint="eastAsia" w:ascii="宋体" w:hAnsi="宋体"/>
          <w:szCs w:val="21"/>
        </w:rPr>
        <w:t>。</w:t>
      </w:r>
    </w:p>
    <w:p>
      <w:pPr>
        <w:snapToGrid w:val="0"/>
        <w:spacing w:line="400" w:lineRule="exact"/>
        <w:ind w:firstLine="420" w:firstLineChars="200"/>
        <w:rPr>
          <w:rFonts w:ascii="宋体" w:hAnsi="宋体"/>
          <w:szCs w:val="21"/>
          <w:u w:val="single"/>
        </w:rPr>
      </w:pPr>
      <w:r>
        <w:rPr>
          <w:rFonts w:hint="eastAsia" w:ascii="宋体" w:hAnsi="宋体"/>
          <w:szCs w:val="21"/>
        </w:rPr>
        <w:t>3、乙方负责货物运输，货物运输合理损耗及计算方法：</w:t>
      </w:r>
      <w:r>
        <w:rPr>
          <w:rFonts w:hint="eastAsia" w:ascii="宋体" w:hAnsi="宋体"/>
          <w:szCs w:val="21"/>
          <w:u w:val="single"/>
        </w:rPr>
        <w:t xml:space="preserve">  本项目合同不接受损耗 </w:t>
      </w:r>
      <w:r>
        <w:rPr>
          <w:rFonts w:hint="eastAsia" w:ascii="宋体" w:hAnsi="宋体"/>
          <w:szCs w:val="21"/>
        </w:rPr>
        <w:t>。</w:t>
      </w:r>
    </w:p>
    <w:p>
      <w:pPr>
        <w:snapToGrid w:val="0"/>
        <w:spacing w:line="400" w:lineRule="exact"/>
        <w:ind w:firstLine="422" w:firstLineChars="200"/>
        <w:rPr>
          <w:rFonts w:ascii="宋体" w:hAnsi="宋体"/>
          <w:szCs w:val="21"/>
        </w:rPr>
      </w:pPr>
      <w:r>
        <w:rPr>
          <w:rFonts w:hint="eastAsia" w:ascii="宋体" w:hAnsi="宋体"/>
          <w:b/>
          <w:szCs w:val="21"/>
        </w:rPr>
        <w:t>第五条　交付和验收</w:t>
      </w:r>
    </w:p>
    <w:p>
      <w:pPr>
        <w:snapToGrid w:val="0"/>
        <w:spacing w:line="400" w:lineRule="exact"/>
        <w:ind w:firstLine="420" w:firstLineChars="200"/>
        <w:rPr>
          <w:rFonts w:ascii="宋体" w:hAnsi="宋体"/>
          <w:szCs w:val="21"/>
        </w:rPr>
      </w:pPr>
      <w:r>
        <w:rPr>
          <w:rFonts w:hint="eastAsia" w:ascii="宋体" w:hAnsi="宋体"/>
          <w:szCs w:val="21"/>
        </w:rPr>
        <w:t>1、交货时间及地点见项目要求。</w:t>
      </w:r>
    </w:p>
    <w:p>
      <w:pPr>
        <w:snapToGrid w:val="0"/>
        <w:spacing w:line="400" w:lineRule="exact"/>
        <w:ind w:firstLine="420" w:firstLineChars="200"/>
        <w:rPr>
          <w:rFonts w:ascii="宋体" w:hAnsi="宋体"/>
          <w:szCs w:val="21"/>
        </w:rPr>
      </w:pPr>
      <w:r>
        <w:rPr>
          <w:rFonts w:hint="eastAsia" w:ascii="宋体" w:hAnsi="宋体"/>
          <w:szCs w:val="21"/>
        </w:rPr>
        <w:t>2、乙方提供不符合招投标文件和本合同规定的货物，甲方有权拒绝接受。</w:t>
      </w:r>
    </w:p>
    <w:p>
      <w:pPr>
        <w:snapToGrid w:val="0"/>
        <w:spacing w:line="400" w:lineRule="exact"/>
        <w:ind w:firstLine="420" w:firstLineChars="200"/>
        <w:rPr>
          <w:rFonts w:ascii="宋体" w:hAnsi="宋体"/>
          <w:szCs w:val="21"/>
        </w:rPr>
      </w:pPr>
      <w:r>
        <w:rPr>
          <w:rFonts w:hint="eastAsia" w:ascii="宋体" w:hAnsi="宋体"/>
          <w:szCs w:val="21"/>
        </w:rPr>
        <w:t>3、乙方应将所提供货物的装箱清单、用户手册、原厂保修卡、随机资料、工具和备品、备件等交付给甲方，货物属于进口产品的，供货时应同时附上中文使用说明书，如有缺失应及时补齐，否则视为逾期交货。</w:t>
      </w:r>
    </w:p>
    <w:p>
      <w:pPr>
        <w:snapToGrid w:val="0"/>
        <w:spacing w:line="400" w:lineRule="exact"/>
        <w:ind w:firstLine="420" w:firstLineChars="200"/>
        <w:rPr>
          <w:rFonts w:ascii="宋体" w:hAnsi="宋体"/>
          <w:szCs w:val="21"/>
        </w:rPr>
      </w:pPr>
      <w:r>
        <w:rPr>
          <w:rFonts w:hint="eastAsia" w:ascii="宋体" w:hAnsi="宋体"/>
          <w:szCs w:val="21"/>
        </w:rPr>
        <w:t>4、甲方应当在到货（安装、调试完）后七个工作日内进行货物验收，逾期不验收的，乙方可视同验收合格。验收合格后由甲乙双方签署货物验收单并加盖采购单位公章，甲乙双方各执一份。</w:t>
      </w:r>
    </w:p>
    <w:p>
      <w:pPr>
        <w:snapToGrid w:val="0"/>
        <w:spacing w:line="400" w:lineRule="exact"/>
        <w:ind w:firstLine="420" w:firstLineChars="200"/>
        <w:rPr>
          <w:rFonts w:ascii="宋体" w:hAnsi="宋体"/>
          <w:szCs w:val="21"/>
        </w:rPr>
      </w:pPr>
      <w:r>
        <w:rPr>
          <w:rFonts w:hint="eastAsia" w:ascii="宋体" w:hAnsi="宋体"/>
          <w:szCs w:val="21"/>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400" w:lineRule="exact"/>
        <w:ind w:firstLine="420" w:firstLineChars="200"/>
        <w:rPr>
          <w:rFonts w:ascii="宋体" w:hAnsi="宋体"/>
          <w:szCs w:val="21"/>
        </w:rPr>
      </w:pPr>
      <w:r>
        <w:rPr>
          <w:rFonts w:hint="eastAsia" w:ascii="宋体" w:hAnsi="宋体"/>
          <w:szCs w:val="21"/>
        </w:rPr>
        <w:t>6、甲方对验收有异议的，在验收后十个工作日内以书面形式向乙方提出，乙方应自收到甲方书面异议后</w:t>
      </w:r>
      <w:r>
        <w:rPr>
          <w:rFonts w:hint="eastAsia" w:ascii="宋体" w:hAnsi="宋体"/>
          <w:szCs w:val="21"/>
          <w:u w:val="single"/>
        </w:rPr>
        <w:t xml:space="preserve"> 5个工作 </w:t>
      </w:r>
      <w:r>
        <w:rPr>
          <w:rFonts w:hint="eastAsia" w:ascii="宋体" w:hAnsi="宋体"/>
          <w:szCs w:val="21"/>
        </w:rPr>
        <w:t>日内及时予以解决。</w:t>
      </w:r>
    </w:p>
    <w:p>
      <w:pPr>
        <w:snapToGrid w:val="0"/>
        <w:spacing w:line="400" w:lineRule="exact"/>
        <w:ind w:firstLine="422" w:firstLineChars="200"/>
        <w:rPr>
          <w:rFonts w:ascii="宋体" w:hAnsi="宋体"/>
          <w:b/>
          <w:szCs w:val="21"/>
        </w:rPr>
      </w:pPr>
      <w:r>
        <w:rPr>
          <w:rFonts w:hint="eastAsia" w:ascii="宋体" w:hAnsi="宋体"/>
          <w:b/>
          <w:szCs w:val="21"/>
        </w:rPr>
        <w:t>第六条  售后服务、质保期</w:t>
      </w:r>
    </w:p>
    <w:p>
      <w:pPr>
        <w:snapToGrid w:val="0"/>
        <w:spacing w:line="400" w:lineRule="exact"/>
        <w:ind w:firstLine="420" w:firstLineChars="200"/>
        <w:rPr>
          <w:rFonts w:ascii="宋体" w:hAnsi="宋体"/>
          <w:szCs w:val="21"/>
        </w:rPr>
      </w:pPr>
      <w:r>
        <w:rPr>
          <w:rFonts w:hint="eastAsia" w:ascii="宋体" w:hAnsi="宋体"/>
          <w:szCs w:val="21"/>
        </w:rPr>
        <w:t>1、乙方应按照国家有关法律法规和“三包”规定以及招投标文件和本合同所附的《售后服务承诺书》，为甲方提供售后服务。</w:t>
      </w:r>
    </w:p>
    <w:p>
      <w:pPr>
        <w:snapToGrid w:val="0"/>
        <w:spacing w:line="400" w:lineRule="exact"/>
        <w:ind w:firstLine="420" w:firstLineChars="200"/>
        <w:rPr>
          <w:rFonts w:ascii="宋体" w:hAnsi="宋体"/>
          <w:szCs w:val="21"/>
          <w:u w:val="single"/>
        </w:rPr>
      </w:pPr>
      <w:r>
        <w:rPr>
          <w:rFonts w:hint="eastAsia" w:ascii="宋体" w:hAnsi="宋体"/>
          <w:szCs w:val="21"/>
        </w:rPr>
        <w:t>2、货物质保期见项目要求。</w:t>
      </w:r>
    </w:p>
    <w:p>
      <w:pPr>
        <w:snapToGrid w:val="0"/>
        <w:spacing w:line="400" w:lineRule="exact"/>
        <w:ind w:firstLine="420" w:firstLineChars="200"/>
        <w:rPr>
          <w:rFonts w:ascii="宋体" w:hAnsi="宋体"/>
          <w:szCs w:val="21"/>
          <w:u w:val="single"/>
        </w:rPr>
      </w:pPr>
      <w:r>
        <w:rPr>
          <w:rFonts w:hint="eastAsia" w:ascii="宋体" w:hAnsi="宋体"/>
          <w:szCs w:val="21"/>
        </w:rPr>
        <w:t>3、乙方提供的服务承诺和售后服务及保修期责任等其它具体约定事项。（见合同附件）</w:t>
      </w:r>
    </w:p>
    <w:p>
      <w:pPr>
        <w:snapToGrid w:val="0"/>
        <w:spacing w:line="400" w:lineRule="exact"/>
        <w:ind w:firstLine="422" w:firstLineChars="200"/>
        <w:rPr>
          <w:rFonts w:ascii="宋体" w:hAnsi="宋体"/>
          <w:szCs w:val="21"/>
        </w:rPr>
      </w:pPr>
      <w:r>
        <w:rPr>
          <w:rFonts w:hint="eastAsia" w:ascii="宋体" w:hAnsi="宋体"/>
          <w:b/>
          <w:szCs w:val="21"/>
        </w:rPr>
        <w:t>第七条　付款方式</w:t>
      </w:r>
    </w:p>
    <w:p>
      <w:pPr>
        <w:snapToGrid w:val="0"/>
        <w:spacing w:line="400" w:lineRule="exact"/>
        <w:ind w:left="-61" w:leftChars="-29" w:firstLine="514" w:firstLineChars="245"/>
        <w:rPr>
          <w:rFonts w:ascii="宋体" w:hAnsi="宋体"/>
          <w:szCs w:val="21"/>
        </w:rPr>
      </w:pPr>
      <w:r>
        <w:rPr>
          <w:rFonts w:hint="eastAsia" w:ascii="宋体" w:hAnsi="宋体"/>
          <w:szCs w:val="21"/>
        </w:rPr>
        <w:t>付款方式：</w:t>
      </w:r>
      <w:r>
        <w:rPr>
          <w:rFonts w:hint="eastAsia" w:ascii="宋体" w:hAnsi="宋体"/>
          <w:szCs w:val="21"/>
          <w:u w:val="single"/>
        </w:rPr>
        <w:t>由学生转账给服务单位</w:t>
      </w:r>
      <w:r>
        <w:rPr>
          <w:rFonts w:hint="eastAsia" w:ascii="宋体" w:hAnsi="宋体"/>
          <w:szCs w:val="21"/>
        </w:rPr>
        <w:t>。</w:t>
      </w:r>
    </w:p>
    <w:p>
      <w:pPr>
        <w:snapToGrid w:val="0"/>
        <w:spacing w:line="400" w:lineRule="exact"/>
        <w:ind w:left="-61" w:firstLine="514"/>
        <w:rPr>
          <w:rFonts w:ascii="宋体" w:hAnsi="宋体"/>
          <w:b/>
          <w:szCs w:val="21"/>
        </w:rPr>
      </w:pPr>
      <w:r>
        <w:rPr>
          <w:rFonts w:hint="eastAsia" w:ascii="宋体" w:hAnsi="宋体"/>
          <w:b/>
          <w:szCs w:val="21"/>
        </w:rPr>
        <w:t>第八条  税费</w:t>
      </w:r>
    </w:p>
    <w:p>
      <w:pPr>
        <w:snapToGrid w:val="0"/>
        <w:spacing w:line="400" w:lineRule="exact"/>
        <w:ind w:left="-61" w:firstLine="514"/>
        <w:rPr>
          <w:rFonts w:ascii="宋体" w:hAnsi="宋体"/>
          <w:szCs w:val="21"/>
        </w:rPr>
      </w:pPr>
      <w:r>
        <w:rPr>
          <w:rFonts w:hint="eastAsia" w:ascii="宋体" w:hAnsi="宋体"/>
          <w:szCs w:val="21"/>
        </w:rPr>
        <w:t>本合同执行中相关的一切税费均由乙方负担。</w:t>
      </w:r>
    </w:p>
    <w:p>
      <w:pPr>
        <w:snapToGrid w:val="0"/>
        <w:spacing w:line="400" w:lineRule="exact"/>
        <w:ind w:left="-61" w:firstLine="514"/>
        <w:rPr>
          <w:rFonts w:ascii="宋体" w:hAnsi="宋体"/>
          <w:szCs w:val="21"/>
        </w:rPr>
      </w:pPr>
      <w:r>
        <w:rPr>
          <w:rFonts w:hint="eastAsia" w:ascii="宋体" w:hAnsi="宋体"/>
          <w:b/>
          <w:szCs w:val="21"/>
        </w:rPr>
        <w:t>第九条  质量保证及售后服务</w:t>
      </w:r>
    </w:p>
    <w:p>
      <w:pPr>
        <w:pStyle w:val="5"/>
        <w:snapToGrid w:val="0"/>
        <w:spacing w:line="400" w:lineRule="exact"/>
        <w:ind w:firstLine="400" w:firstLineChars="200"/>
        <w:rPr>
          <w:rFonts w:hAnsi="宋体"/>
        </w:rPr>
      </w:pPr>
      <w:r>
        <w:rPr>
          <w:rFonts w:hint="eastAsia" w:hAnsi="宋体"/>
        </w:rPr>
        <w:t>1. 乙方应按采购文件规定的货物性能、技术要求、质量标准向甲方提供未经使用的全新产品。不符合要求的，根据实际情况，经双方协商，可按以下办法处理：</w:t>
      </w:r>
    </w:p>
    <w:p>
      <w:pPr>
        <w:pStyle w:val="5"/>
        <w:snapToGrid w:val="0"/>
        <w:spacing w:line="400" w:lineRule="exact"/>
        <w:ind w:firstLine="400" w:firstLineChars="200"/>
        <w:rPr>
          <w:rFonts w:hAnsi="宋体"/>
        </w:rPr>
      </w:pPr>
      <w:r>
        <w:rPr>
          <w:rFonts w:hint="eastAsia" w:hAnsi="宋体"/>
        </w:rPr>
        <w:t>⑴更换：由乙方承担所发生的全部费用。</w:t>
      </w:r>
    </w:p>
    <w:p>
      <w:pPr>
        <w:pStyle w:val="5"/>
        <w:snapToGrid w:val="0"/>
        <w:spacing w:line="400" w:lineRule="exact"/>
        <w:ind w:firstLine="420"/>
        <w:rPr>
          <w:rFonts w:hAnsi="宋体"/>
        </w:rPr>
      </w:pPr>
      <w:r>
        <w:rPr>
          <w:rFonts w:hint="eastAsia" w:hAnsi="宋体"/>
        </w:rPr>
        <w:t>⑵贬值处理：由甲乙双方合议定价。</w:t>
      </w:r>
    </w:p>
    <w:p>
      <w:pPr>
        <w:pStyle w:val="5"/>
        <w:snapToGrid w:val="0"/>
        <w:spacing w:line="400" w:lineRule="exact"/>
        <w:ind w:firstLine="400" w:firstLineChars="200"/>
        <w:rPr>
          <w:rFonts w:hAnsi="宋体"/>
        </w:rPr>
      </w:pPr>
      <w:r>
        <w:rPr>
          <w:rFonts w:hint="eastAsia" w:hAnsi="宋体"/>
        </w:rPr>
        <w:t>⑶退货处理：乙方应退还甲方支付的合同款，同时应承担该货物的直接费用（运输、保险、检验、货款利息及银行手续费等）。</w:t>
      </w:r>
    </w:p>
    <w:p>
      <w:pPr>
        <w:pStyle w:val="5"/>
        <w:snapToGrid w:val="0"/>
        <w:spacing w:line="400" w:lineRule="exact"/>
        <w:ind w:firstLine="400" w:firstLineChars="200"/>
        <w:rPr>
          <w:rFonts w:hAnsi="宋体"/>
        </w:rPr>
      </w:pPr>
      <w:r>
        <w:rPr>
          <w:rFonts w:hint="eastAsia" w:hAnsi="宋体"/>
        </w:rPr>
        <w:t>2. 如在使用过程中发生质量问题，乙方在接到甲方通知后在</w:t>
      </w:r>
      <w:r>
        <w:rPr>
          <w:rFonts w:hint="eastAsia" w:hAnsi="宋体"/>
          <w:u w:val="single"/>
        </w:rPr>
        <w:t xml:space="preserve"> 乙方售后服务承诺   </w:t>
      </w:r>
      <w:r>
        <w:rPr>
          <w:rFonts w:hint="eastAsia" w:hAnsi="宋体"/>
        </w:rPr>
        <w:t>小时内到达甲方现场处理。</w:t>
      </w:r>
    </w:p>
    <w:p>
      <w:pPr>
        <w:pStyle w:val="5"/>
        <w:snapToGrid w:val="0"/>
        <w:spacing w:line="400" w:lineRule="exact"/>
        <w:ind w:firstLine="400" w:firstLineChars="200"/>
        <w:rPr>
          <w:rFonts w:hAnsi="宋体"/>
        </w:rPr>
      </w:pPr>
      <w:r>
        <w:rPr>
          <w:rFonts w:hint="eastAsia" w:hAnsi="宋体"/>
        </w:rPr>
        <w:t>3. 在质保期内，乙方应对货物出现的质量及安全问题负责处理解决并承担一切费用。</w:t>
      </w:r>
    </w:p>
    <w:p>
      <w:pPr>
        <w:snapToGrid w:val="0"/>
        <w:spacing w:line="400" w:lineRule="exact"/>
        <w:ind w:left="-61" w:leftChars="-29" w:firstLine="500" w:firstLineChars="250"/>
        <w:rPr>
          <w:rFonts w:ascii="宋体" w:hAnsi="宋体"/>
          <w:kern w:val="0"/>
          <w:sz w:val="20"/>
          <w:szCs w:val="21"/>
        </w:rPr>
      </w:pPr>
      <w:r>
        <w:rPr>
          <w:rFonts w:hint="eastAsia" w:ascii="宋体" w:hAnsi="宋体"/>
          <w:kern w:val="0"/>
          <w:sz w:val="20"/>
          <w:szCs w:val="21"/>
        </w:rPr>
        <w:t>4. 货物因人为因素出现的故障不在免费保修范围内。超过保修期的机器设备，终生维修，维修时只收部件成本费。</w:t>
      </w:r>
    </w:p>
    <w:p>
      <w:pPr>
        <w:snapToGrid w:val="0"/>
        <w:spacing w:line="400" w:lineRule="exact"/>
        <w:ind w:left="-61" w:firstLine="514"/>
        <w:rPr>
          <w:rFonts w:ascii="宋体" w:hAnsi="宋体"/>
          <w:szCs w:val="21"/>
        </w:rPr>
      </w:pPr>
      <w:r>
        <w:rPr>
          <w:rFonts w:hint="eastAsia" w:ascii="宋体" w:hAnsi="宋体"/>
          <w:b/>
          <w:szCs w:val="21"/>
        </w:rPr>
        <w:t>第十条  验收</w:t>
      </w:r>
    </w:p>
    <w:p>
      <w:pPr>
        <w:pStyle w:val="5"/>
        <w:snapToGrid w:val="0"/>
        <w:spacing w:line="400" w:lineRule="exact"/>
        <w:ind w:firstLine="400" w:firstLineChars="200"/>
        <w:jc w:val="left"/>
        <w:rPr>
          <w:rFonts w:hAnsi="宋体"/>
        </w:rPr>
      </w:pPr>
      <w:r>
        <w:rPr>
          <w:rFonts w:hint="eastAsia" w:hAnsi="宋体"/>
        </w:rPr>
        <w:t>1. 甲方对乙方提交的货物依据采购文件上的技术规格要求和国家有关质量标准进行现场初步验收，外观、说明书符合采购文件技术要求的，给予签收，初步验收不合格的不予签收。货到后，甲方应当在到货（安装、调试完）后七个工作日内进行货物验收。</w:t>
      </w:r>
    </w:p>
    <w:p>
      <w:pPr>
        <w:pStyle w:val="5"/>
        <w:snapToGrid w:val="0"/>
        <w:spacing w:line="400" w:lineRule="exact"/>
        <w:ind w:firstLine="400" w:firstLineChars="200"/>
        <w:rPr>
          <w:rFonts w:hAnsi="宋体"/>
        </w:rPr>
      </w:pPr>
      <w:r>
        <w:rPr>
          <w:rFonts w:hint="eastAsia" w:hAnsi="宋体"/>
        </w:rPr>
        <w:t>2. 乙方交货前应对产品作出全面检查和对验收文件进行整理，并列出清单，作为甲方收货验收和使用的技术条件依据，检验的结果应随货物交甲方。</w:t>
      </w:r>
    </w:p>
    <w:p>
      <w:pPr>
        <w:snapToGrid w:val="0"/>
        <w:spacing w:line="400" w:lineRule="exact"/>
        <w:ind w:firstLine="300" w:firstLineChars="150"/>
        <w:rPr>
          <w:rFonts w:ascii="宋体" w:hAnsi="宋体"/>
          <w:kern w:val="0"/>
          <w:sz w:val="20"/>
          <w:szCs w:val="21"/>
        </w:rPr>
      </w:pPr>
      <w:r>
        <w:rPr>
          <w:rFonts w:hint="eastAsia" w:ascii="宋体" w:hAnsi="宋体"/>
          <w:kern w:val="0"/>
          <w:sz w:val="20"/>
          <w:szCs w:val="21"/>
        </w:rPr>
        <w:t>3. 验收时乙方必须在现场，验收完毕后作出验收结果报告；验收费用由乙方负责。</w:t>
      </w:r>
    </w:p>
    <w:p>
      <w:pPr>
        <w:pStyle w:val="5"/>
        <w:snapToGrid w:val="0"/>
        <w:spacing w:line="400" w:lineRule="exact"/>
        <w:ind w:firstLine="394" w:firstLineChars="196"/>
        <w:rPr>
          <w:rFonts w:hAnsi="宋体"/>
          <w:b/>
        </w:rPr>
      </w:pPr>
      <w:r>
        <w:rPr>
          <w:rFonts w:hint="eastAsia" w:hAnsi="宋体"/>
          <w:b/>
        </w:rPr>
        <w:t>第十一条  货物包装、发运及运输</w:t>
      </w:r>
    </w:p>
    <w:p>
      <w:pPr>
        <w:pStyle w:val="5"/>
        <w:snapToGrid w:val="0"/>
        <w:spacing w:line="400" w:lineRule="exact"/>
        <w:ind w:firstLine="400" w:firstLineChars="200"/>
        <w:rPr>
          <w:rFonts w:hAnsi="宋体"/>
        </w:rPr>
      </w:pPr>
      <w:r>
        <w:rPr>
          <w:rFonts w:hint="eastAsia" w:hAnsi="宋体"/>
        </w:rPr>
        <w:t>1. 乙方应在货物发运前对其进行满足运输距离、防潮、防震、防锈和防破损装卸等要求包装，以保证货物安全运达甲方指定地点。</w:t>
      </w:r>
    </w:p>
    <w:p>
      <w:pPr>
        <w:pStyle w:val="5"/>
        <w:snapToGrid w:val="0"/>
        <w:spacing w:line="400" w:lineRule="exact"/>
        <w:ind w:firstLine="400" w:firstLineChars="200"/>
        <w:rPr>
          <w:rFonts w:hAnsi="宋体"/>
        </w:rPr>
      </w:pPr>
      <w:r>
        <w:rPr>
          <w:rFonts w:hint="eastAsia" w:hAnsi="宋体"/>
        </w:rPr>
        <w:t>2. 使用说明书（货物属于进口产品的，供货时应同时附上中文使用说明书）、质量检验证明书、随配附件和工具以及清单一并附于货物内。</w:t>
      </w:r>
    </w:p>
    <w:p>
      <w:pPr>
        <w:pStyle w:val="5"/>
        <w:snapToGrid w:val="0"/>
        <w:spacing w:line="400" w:lineRule="exact"/>
        <w:ind w:firstLine="400" w:firstLineChars="200"/>
        <w:rPr>
          <w:rFonts w:hAnsi="宋体"/>
        </w:rPr>
      </w:pPr>
      <w:r>
        <w:rPr>
          <w:rFonts w:hint="eastAsia" w:hAnsi="宋体"/>
        </w:rPr>
        <w:t>3. 乙方在货物发运手续办理完毕后二十四小时内或货到甲方四十八小时前通知甲方，以准备接货。</w:t>
      </w:r>
    </w:p>
    <w:p>
      <w:pPr>
        <w:pStyle w:val="5"/>
        <w:snapToGrid w:val="0"/>
        <w:spacing w:line="400" w:lineRule="exact"/>
        <w:ind w:left="420" w:leftChars="200"/>
        <w:rPr>
          <w:rFonts w:hAnsi="宋体"/>
        </w:rPr>
      </w:pPr>
      <w:r>
        <w:rPr>
          <w:rFonts w:hint="eastAsia" w:hAnsi="宋体"/>
        </w:rPr>
        <w:t>4. 货物在交付甲方前发生的风险均由乙方负责。</w:t>
      </w:r>
    </w:p>
    <w:p>
      <w:pPr>
        <w:snapToGrid w:val="0"/>
        <w:spacing w:line="400" w:lineRule="exact"/>
        <w:ind w:left="-61" w:firstLine="514"/>
        <w:rPr>
          <w:rFonts w:ascii="宋体" w:hAnsi="宋体"/>
          <w:szCs w:val="21"/>
        </w:rPr>
      </w:pPr>
      <w:r>
        <w:rPr>
          <w:rFonts w:hint="eastAsia" w:ascii="宋体" w:hAnsi="宋体"/>
        </w:rPr>
        <w:t>5. 货物在规定的交付期限内由乙方送达甲方指定的地点视为交付，乙方同时需通知甲方货物已送达。</w:t>
      </w:r>
    </w:p>
    <w:p>
      <w:pPr>
        <w:snapToGrid w:val="0"/>
        <w:spacing w:line="400" w:lineRule="exact"/>
        <w:ind w:firstLine="422" w:firstLineChars="200"/>
        <w:rPr>
          <w:rFonts w:ascii="宋体" w:hAnsi="宋体"/>
          <w:b/>
          <w:szCs w:val="21"/>
        </w:rPr>
      </w:pPr>
      <w:r>
        <w:rPr>
          <w:rFonts w:hint="eastAsia" w:ascii="宋体" w:hAnsi="宋体"/>
          <w:b/>
          <w:szCs w:val="21"/>
        </w:rPr>
        <w:t>第十二条　违约责任</w:t>
      </w:r>
    </w:p>
    <w:p>
      <w:pPr>
        <w:snapToGrid w:val="0"/>
        <w:spacing w:line="400" w:lineRule="exact"/>
        <w:ind w:firstLine="525" w:firstLineChars="250"/>
        <w:rPr>
          <w:rFonts w:ascii="宋体" w:hAnsi="宋体"/>
          <w:szCs w:val="21"/>
        </w:rPr>
      </w:pPr>
      <w:r>
        <w:rPr>
          <w:rFonts w:hint="eastAsia" w:ascii="宋体" w:hAnsi="宋体"/>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400" w:lineRule="exact"/>
        <w:ind w:firstLine="472" w:firstLineChars="225"/>
        <w:rPr>
          <w:rFonts w:ascii="宋体" w:hAnsi="宋体"/>
          <w:szCs w:val="21"/>
        </w:rPr>
      </w:pPr>
      <w:r>
        <w:rPr>
          <w:rFonts w:hint="eastAsia" w:ascii="宋体" w:hAnsi="宋体"/>
          <w:szCs w:val="21"/>
        </w:rPr>
        <w:t>2、乙方提供的货物如侵犯了第三方合法权益而引发的任何纠纷或诉讼，均由乙方负责交涉并承担全部责任。</w:t>
      </w:r>
    </w:p>
    <w:p>
      <w:pPr>
        <w:snapToGrid w:val="0"/>
        <w:spacing w:line="400" w:lineRule="exact"/>
        <w:ind w:firstLine="420" w:firstLineChars="200"/>
        <w:rPr>
          <w:rFonts w:ascii="宋体" w:hAnsi="宋体"/>
          <w:szCs w:val="21"/>
        </w:rPr>
      </w:pPr>
      <w:r>
        <w:rPr>
          <w:rFonts w:hint="eastAsia" w:ascii="宋体" w:hAnsi="宋体"/>
          <w:szCs w:val="21"/>
        </w:rPr>
        <w:t>3、因包装、运输引起的货物损坏，按质量不合格处罚。</w:t>
      </w:r>
    </w:p>
    <w:p>
      <w:pPr>
        <w:snapToGrid w:val="0"/>
        <w:spacing w:line="400" w:lineRule="exact"/>
        <w:ind w:firstLine="420" w:firstLineChars="200"/>
        <w:rPr>
          <w:rFonts w:ascii="宋体" w:hAnsi="宋体"/>
          <w:szCs w:val="21"/>
        </w:rPr>
      </w:pPr>
      <w:r>
        <w:rPr>
          <w:rFonts w:hint="eastAsia" w:ascii="宋体" w:hAnsi="宋体"/>
          <w:szCs w:val="21"/>
        </w:rPr>
        <w:t>4、甲方无故延期接收货物、乙方逾期交货的，每天向对方偿付违约货款额</w:t>
      </w:r>
      <w:r>
        <w:rPr>
          <w:rFonts w:hint="eastAsia" w:ascii="宋体" w:hAnsi="宋体"/>
          <w:szCs w:val="21"/>
          <w:u w:val="single"/>
        </w:rPr>
        <w:t>4‰</w:t>
      </w:r>
      <w:r>
        <w:rPr>
          <w:rFonts w:hint="eastAsia" w:ascii="宋体" w:hAnsi="宋体"/>
          <w:szCs w:val="21"/>
        </w:rPr>
        <w:t>违约金，但违约金累计不得超过违约货款额</w:t>
      </w:r>
      <w:r>
        <w:rPr>
          <w:rFonts w:hint="eastAsia" w:ascii="宋体" w:hAnsi="宋体"/>
          <w:szCs w:val="21"/>
          <w:u w:val="single"/>
        </w:rPr>
        <w:t>5%</w:t>
      </w:r>
      <w:r>
        <w:rPr>
          <w:rFonts w:hint="eastAsia" w:ascii="宋体" w:hAnsi="宋体"/>
          <w:szCs w:val="21"/>
        </w:rPr>
        <w:t>，超过</w:t>
      </w:r>
      <w:r>
        <w:rPr>
          <w:rFonts w:hint="eastAsia" w:ascii="宋体" w:hAnsi="宋体"/>
          <w:szCs w:val="21"/>
          <w:u w:val="single"/>
        </w:rPr>
        <w:t xml:space="preserve"> 15 </w:t>
      </w:r>
      <w:r>
        <w:rPr>
          <w:rFonts w:hint="eastAsia" w:ascii="宋体" w:hAnsi="宋体"/>
          <w:szCs w:val="21"/>
        </w:rPr>
        <w:t>天对方有权解除合同，违约方承担因此给对方造成经济损失；甲方延期付货款的，每天向乙方偿付延期货款额</w:t>
      </w:r>
      <w:r>
        <w:rPr>
          <w:rFonts w:hint="eastAsia" w:ascii="宋体" w:hAnsi="宋体"/>
          <w:szCs w:val="21"/>
          <w:u w:val="single"/>
        </w:rPr>
        <w:t>4‰</w:t>
      </w:r>
      <w:r>
        <w:rPr>
          <w:rFonts w:hint="eastAsia" w:ascii="宋体" w:hAnsi="宋体"/>
          <w:szCs w:val="21"/>
        </w:rPr>
        <w:t>滞纳金，但滞纳金累计不得超过延期货款额</w:t>
      </w:r>
      <w:r>
        <w:rPr>
          <w:rFonts w:hint="eastAsia" w:ascii="宋体" w:hAnsi="宋体"/>
          <w:szCs w:val="21"/>
          <w:u w:val="single"/>
        </w:rPr>
        <w:t>5%</w:t>
      </w:r>
      <w:r>
        <w:rPr>
          <w:rFonts w:hint="eastAsia" w:ascii="宋体" w:hAnsi="宋体"/>
          <w:szCs w:val="21"/>
        </w:rPr>
        <w:t>。</w:t>
      </w:r>
    </w:p>
    <w:p>
      <w:pPr>
        <w:snapToGrid w:val="0"/>
        <w:spacing w:line="400" w:lineRule="exact"/>
        <w:ind w:firstLine="420" w:firstLineChars="200"/>
        <w:rPr>
          <w:rFonts w:ascii="宋体" w:hAnsi="宋体"/>
          <w:szCs w:val="21"/>
        </w:rPr>
      </w:pPr>
      <w:r>
        <w:rPr>
          <w:rFonts w:hint="eastAsia" w:ascii="宋体" w:hAnsi="宋体"/>
          <w:szCs w:val="21"/>
        </w:rPr>
        <w:t>5、乙方未按本合同和投标文件中规定的服务承诺提供售后服务的，乙方应按本合同合计金额</w:t>
      </w:r>
      <w:r>
        <w:rPr>
          <w:rFonts w:hint="eastAsia" w:ascii="宋体" w:hAnsi="宋体"/>
          <w:szCs w:val="21"/>
          <w:u w:val="single"/>
        </w:rPr>
        <w:t xml:space="preserve"> 5%</w:t>
      </w:r>
      <w:r>
        <w:rPr>
          <w:rFonts w:hint="eastAsia" w:ascii="宋体" w:hAnsi="宋体"/>
          <w:szCs w:val="21"/>
        </w:rPr>
        <w:t>向甲方支付违约金。</w:t>
      </w:r>
    </w:p>
    <w:p>
      <w:pPr>
        <w:snapToGrid w:val="0"/>
        <w:spacing w:line="400" w:lineRule="exact"/>
        <w:ind w:firstLine="420" w:firstLineChars="200"/>
        <w:rPr>
          <w:rFonts w:ascii="宋体" w:hAnsi="宋体"/>
          <w:szCs w:val="21"/>
        </w:rPr>
      </w:pPr>
      <w:r>
        <w:rPr>
          <w:rFonts w:hint="eastAsia" w:ascii="宋体" w:hAnsi="宋体"/>
          <w:szCs w:val="21"/>
        </w:rPr>
        <w:t>6、乙方提供的货物在质保期内，因设计、工艺或材料的缺陷和其它质量原因造成的问题，由乙方负责，费用从质量保证金中扣除，不足另补。</w:t>
      </w:r>
    </w:p>
    <w:p>
      <w:pPr>
        <w:snapToGrid w:val="0"/>
        <w:spacing w:line="400" w:lineRule="exact"/>
        <w:ind w:left="-61" w:firstLine="514"/>
        <w:rPr>
          <w:rFonts w:ascii="宋体" w:hAnsi="宋体"/>
          <w:szCs w:val="21"/>
        </w:rPr>
      </w:pPr>
      <w:r>
        <w:rPr>
          <w:rFonts w:hint="eastAsia" w:ascii="宋体" w:hAnsi="宋体"/>
          <w:szCs w:val="21"/>
        </w:rPr>
        <w:t>7、其它违约行为按违约货款额5%收取违约金并赔偿经济损失。</w:t>
      </w:r>
    </w:p>
    <w:p>
      <w:pPr>
        <w:pStyle w:val="5"/>
        <w:snapToGrid w:val="0"/>
        <w:spacing w:line="400" w:lineRule="exact"/>
        <w:ind w:firstLine="394" w:firstLineChars="196"/>
        <w:rPr>
          <w:rFonts w:hAnsi="宋体"/>
          <w:b/>
        </w:rPr>
      </w:pPr>
      <w:r>
        <w:rPr>
          <w:rFonts w:hint="eastAsia" w:hAnsi="宋体"/>
          <w:b/>
        </w:rPr>
        <w:t>第十三条  不可抗力事件处理</w:t>
      </w:r>
    </w:p>
    <w:p>
      <w:pPr>
        <w:pStyle w:val="5"/>
        <w:snapToGrid w:val="0"/>
        <w:spacing w:line="400" w:lineRule="exact"/>
        <w:ind w:firstLine="400" w:firstLineChars="200"/>
        <w:rPr>
          <w:rFonts w:hAnsi="宋体"/>
        </w:rPr>
      </w:pPr>
      <w:r>
        <w:rPr>
          <w:rFonts w:hint="eastAsia" w:hAnsi="宋体"/>
        </w:rPr>
        <w:t>1. 在合同有效期内，任何一方因不可抗力事件导致不能履行合同，则合同履行期可延长，其延长期与不可抗力影响期相同。</w:t>
      </w:r>
    </w:p>
    <w:p>
      <w:pPr>
        <w:pStyle w:val="5"/>
        <w:snapToGrid w:val="0"/>
        <w:spacing w:line="400" w:lineRule="exact"/>
        <w:ind w:firstLine="400" w:firstLineChars="200"/>
        <w:rPr>
          <w:rFonts w:hAnsi="宋体"/>
        </w:rPr>
      </w:pPr>
      <w:r>
        <w:rPr>
          <w:rFonts w:hint="eastAsia" w:hAnsi="宋体"/>
        </w:rPr>
        <w:t>2. 不可抗力事件发生后，应立即通知对方，并寄送有关权威机构出具的证明。</w:t>
      </w:r>
    </w:p>
    <w:p>
      <w:pPr>
        <w:snapToGrid w:val="0"/>
        <w:spacing w:line="400" w:lineRule="exact"/>
        <w:ind w:left="-61" w:firstLine="514"/>
        <w:rPr>
          <w:rFonts w:ascii="宋体" w:hAnsi="宋体"/>
          <w:szCs w:val="21"/>
        </w:rPr>
      </w:pPr>
      <w:r>
        <w:rPr>
          <w:rFonts w:hint="eastAsia" w:ascii="宋体" w:hAnsi="宋体"/>
        </w:rPr>
        <w:t>3. 不可抗力事件延续一百二十天以上，双方应通过友好协商，确定是否继续履行合同。</w:t>
      </w:r>
    </w:p>
    <w:p>
      <w:pPr>
        <w:snapToGrid w:val="0"/>
        <w:spacing w:line="400" w:lineRule="exact"/>
        <w:ind w:firstLine="422" w:firstLineChars="200"/>
        <w:rPr>
          <w:rFonts w:ascii="宋体" w:hAnsi="宋体"/>
          <w:szCs w:val="21"/>
        </w:rPr>
      </w:pPr>
      <w:r>
        <w:rPr>
          <w:rFonts w:hint="eastAsia" w:ascii="宋体" w:hAnsi="宋体"/>
          <w:b/>
          <w:szCs w:val="21"/>
        </w:rPr>
        <w:t>第十四条  合同争议解决</w:t>
      </w:r>
    </w:p>
    <w:p>
      <w:pPr>
        <w:snapToGrid w:val="0"/>
        <w:spacing w:line="400" w:lineRule="exact"/>
        <w:ind w:firstLine="420" w:firstLineChars="200"/>
        <w:rPr>
          <w:rFonts w:ascii="宋体" w:hAnsi="宋体"/>
          <w:szCs w:val="21"/>
        </w:rPr>
      </w:pPr>
      <w:r>
        <w:rPr>
          <w:rFonts w:hint="eastAsia" w:ascii="宋体" w:hAnsi="宋体"/>
          <w:szCs w:val="21"/>
        </w:rPr>
        <w:t>1、因货物质量问题发生争议的，应邀请国家认可的质量检测机构对货物质量进行鉴定。货物符合标准的，鉴定费由甲方承担；货物不符合标准的，鉴定费由乙方承担。</w:t>
      </w:r>
    </w:p>
    <w:p>
      <w:pPr>
        <w:snapToGrid w:val="0"/>
        <w:spacing w:line="400" w:lineRule="exact"/>
        <w:ind w:firstLine="420" w:firstLineChars="200"/>
        <w:rPr>
          <w:rFonts w:ascii="宋体" w:hAnsi="宋体"/>
          <w:szCs w:val="21"/>
        </w:rPr>
      </w:pPr>
      <w:r>
        <w:rPr>
          <w:rFonts w:hint="eastAsia" w:ascii="宋体" w:hAnsi="宋体"/>
          <w:szCs w:val="21"/>
        </w:rPr>
        <w:t>2、因履行本合同引起的或与本合同有关的争议，甲乙双方应首先通过友好协商解决，如果协商不能解决，可向甲方所在地人民法院提起诉讼。</w:t>
      </w:r>
    </w:p>
    <w:p>
      <w:pPr>
        <w:snapToGrid w:val="0"/>
        <w:spacing w:line="400" w:lineRule="exact"/>
        <w:ind w:left="-61" w:firstLine="514"/>
        <w:rPr>
          <w:rFonts w:ascii="宋体" w:hAnsi="宋体"/>
          <w:szCs w:val="21"/>
        </w:rPr>
      </w:pPr>
      <w:r>
        <w:rPr>
          <w:rFonts w:hint="eastAsia" w:ascii="宋体" w:hAnsi="宋体"/>
          <w:szCs w:val="21"/>
        </w:rPr>
        <w:t>3、诉讼期间，本合同继续履行。</w:t>
      </w:r>
    </w:p>
    <w:p>
      <w:pPr>
        <w:pStyle w:val="5"/>
        <w:snapToGrid w:val="0"/>
        <w:spacing w:line="400" w:lineRule="exact"/>
        <w:ind w:firstLine="394" w:firstLineChars="196"/>
        <w:rPr>
          <w:rFonts w:hAnsi="宋体"/>
          <w:b/>
        </w:rPr>
      </w:pPr>
      <w:r>
        <w:rPr>
          <w:rFonts w:hint="eastAsia" w:hAnsi="宋体"/>
          <w:b/>
        </w:rPr>
        <w:t>第十五条  合同生效及其它</w:t>
      </w:r>
    </w:p>
    <w:p>
      <w:pPr>
        <w:pStyle w:val="5"/>
        <w:snapToGrid w:val="0"/>
        <w:spacing w:line="400" w:lineRule="exact"/>
        <w:ind w:firstLine="400" w:firstLineChars="200"/>
        <w:rPr>
          <w:rFonts w:hAnsi="宋体"/>
        </w:rPr>
      </w:pPr>
      <w:r>
        <w:rPr>
          <w:rFonts w:hint="eastAsia" w:hAnsi="宋体"/>
        </w:rPr>
        <w:t>1.合同经双方法定代表人或被授权代表签字并加盖单位公章后生效。</w:t>
      </w:r>
    </w:p>
    <w:p>
      <w:pPr>
        <w:pStyle w:val="5"/>
        <w:snapToGrid w:val="0"/>
        <w:spacing w:line="400" w:lineRule="exact"/>
        <w:ind w:firstLine="400" w:firstLineChars="200"/>
        <w:rPr>
          <w:rFonts w:hAnsi="宋体"/>
        </w:rPr>
      </w:pPr>
      <w:r>
        <w:rPr>
          <w:rFonts w:hint="eastAsia" w:hAnsi="宋体"/>
        </w:rPr>
        <w:t>2.合同执行中涉及采购资金和采购内容修改或补充的，在法规范围内，须签书面补充协议方可作为主合同不可分割的一部分。</w:t>
      </w:r>
    </w:p>
    <w:p>
      <w:pPr>
        <w:pStyle w:val="5"/>
        <w:snapToGrid w:val="0"/>
        <w:spacing w:line="400" w:lineRule="exact"/>
        <w:ind w:left="420" w:leftChars="200"/>
        <w:rPr>
          <w:rFonts w:hAnsi="宋体"/>
        </w:rPr>
      </w:pPr>
      <w:r>
        <w:rPr>
          <w:rFonts w:hint="eastAsia" w:hAnsi="宋体"/>
        </w:rPr>
        <w:t>3.本合同未尽事宜，遵照《合同法》有关条文执行。</w:t>
      </w:r>
    </w:p>
    <w:p>
      <w:pPr>
        <w:snapToGrid w:val="0"/>
        <w:spacing w:line="400" w:lineRule="exact"/>
        <w:ind w:firstLine="422" w:firstLineChars="200"/>
        <w:rPr>
          <w:rFonts w:ascii="宋体" w:hAnsi="宋体"/>
          <w:b/>
          <w:szCs w:val="21"/>
        </w:rPr>
      </w:pPr>
      <w:r>
        <w:rPr>
          <w:rFonts w:hint="eastAsia" w:ascii="宋体" w:hAnsi="宋体"/>
          <w:b/>
          <w:szCs w:val="21"/>
        </w:rPr>
        <w:t>第十六条　合同的变更、终止与转让</w:t>
      </w:r>
    </w:p>
    <w:p>
      <w:pPr>
        <w:snapToGrid w:val="0"/>
        <w:spacing w:line="400" w:lineRule="exact"/>
        <w:ind w:firstLine="420" w:firstLineChars="200"/>
        <w:rPr>
          <w:rFonts w:ascii="宋体" w:hAnsi="宋体"/>
          <w:szCs w:val="21"/>
        </w:rPr>
      </w:pPr>
      <w:r>
        <w:rPr>
          <w:rFonts w:hint="eastAsia" w:ascii="宋体" w:hAnsi="宋体"/>
          <w:szCs w:val="21"/>
        </w:rPr>
        <w:t>1、除《中华人民共和国政府采购法》第五十条规定的情形外，本合同一经签订，甲乙双方不得擅自变更、中止或终止。</w:t>
      </w:r>
    </w:p>
    <w:p>
      <w:pPr>
        <w:snapToGrid w:val="0"/>
        <w:spacing w:line="400" w:lineRule="exact"/>
        <w:ind w:left="-61" w:firstLine="514"/>
      </w:pPr>
      <w:r>
        <w:rPr>
          <w:rFonts w:hint="eastAsia"/>
        </w:rPr>
        <w:t>2、乙方不得擅自转让（无进口资格的供应商委托进口货物除外）其应履行的合同义务。</w:t>
      </w:r>
    </w:p>
    <w:p>
      <w:pPr>
        <w:snapToGrid w:val="0"/>
        <w:spacing w:line="400" w:lineRule="exact"/>
        <w:ind w:firstLine="422" w:firstLineChars="200"/>
        <w:rPr>
          <w:rFonts w:ascii="宋体" w:hAnsi="宋体"/>
          <w:b/>
          <w:szCs w:val="21"/>
        </w:rPr>
      </w:pPr>
      <w:r>
        <w:rPr>
          <w:rFonts w:hint="eastAsia" w:ascii="宋体" w:hAnsi="宋体"/>
          <w:b/>
          <w:szCs w:val="21"/>
        </w:rPr>
        <w:t>第十七条　签订本合同依据</w:t>
      </w:r>
    </w:p>
    <w:p>
      <w:pPr>
        <w:pStyle w:val="5"/>
        <w:snapToGrid w:val="0"/>
        <w:spacing w:line="400" w:lineRule="exact"/>
        <w:ind w:left="420" w:leftChars="200"/>
        <w:rPr>
          <w:rFonts w:hAnsi="宋体"/>
        </w:rPr>
      </w:pPr>
      <w:r>
        <w:rPr>
          <w:rFonts w:hint="eastAsia" w:hAnsi="宋体"/>
        </w:rPr>
        <w:t>1、项目采购文件；</w:t>
      </w:r>
    </w:p>
    <w:p>
      <w:pPr>
        <w:pStyle w:val="5"/>
        <w:snapToGrid w:val="0"/>
        <w:spacing w:line="400" w:lineRule="exact"/>
        <w:ind w:left="420" w:leftChars="200"/>
        <w:rPr>
          <w:rFonts w:hAnsi="宋体"/>
        </w:rPr>
      </w:pPr>
      <w:r>
        <w:rPr>
          <w:rFonts w:hint="eastAsia" w:hAnsi="宋体"/>
        </w:rPr>
        <w:t>2、乙方提供的报价文件；</w:t>
      </w:r>
    </w:p>
    <w:p>
      <w:pPr>
        <w:pStyle w:val="5"/>
        <w:snapToGrid w:val="0"/>
        <w:spacing w:line="400" w:lineRule="exact"/>
        <w:ind w:left="420" w:leftChars="200"/>
        <w:rPr>
          <w:rFonts w:hAnsi="宋体"/>
          <w:b/>
        </w:rPr>
      </w:pPr>
      <w:r>
        <w:rPr>
          <w:rFonts w:hint="eastAsia" w:hAnsi="宋体"/>
        </w:rPr>
        <w:t>3、成交通知书。</w:t>
      </w:r>
    </w:p>
    <w:p>
      <w:pPr>
        <w:snapToGrid w:val="0"/>
        <w:spacing w:line="400" w:lineRule="exact"/>
        <w:ind w:firstLine="422" w:firstLineChars="200"/>
        <w:rPr>
          <w:rFonts w:ascii="宋体" w:hAnsi="宋体"/>
          <w:szCs w:val="21"/>
        </w:rPr>
      </w:pPr>
      <w:r>
        <w:rPr>
          <w:rFonts w:hint="eastAsia" w:ascii="宋体" w:hAnsi="宋体"/>
          <w:b/>
          <w:szCs w:val="21"/>
        </w:rPr>
        <w:t>第十八条　</w:t>
      </w:r>
      <w:r>
        <w:rPr>
          <w:rFonts w:hint="eastAsia" w:ascii="宋体" w:hAnsi="宋体"/>
          <w:szCs w:val="21"/>
        </w:rPr>
        <w:t>本合同一式五份，具有同等法律效力，甲方三份，乙方一份，采购代理机构一份。本合同甲乙双方签字盖章后生效。</w:t>
      </w:r>
    </w:p>
    <w:tbl>
      <w:tblPr>
        <w:tblStyle w:val="1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264" w:type="dxa"/>
            <w:vAlign w:val="center"/>
          </w:tcPr>
          <w:p>
            <w:pPr>
              <w:snapToGrid w:val="0"/>
              <w:spacing w:line="400" w:lineRule="exact"/>
              <w:rPr>
                <w:rFonts w:ascii="宋体" w:hAnsi="宋体"/>
                <w:szCs w:val="21"/>
              </w:rPr>
            </w:pPr>
            <w:r>
              <w:rPr>
                <w:rFonts w:hint="eastAsia" w:ascii="宋体" w:hAnsi="宋体"/>
                <w:szCs w:val="21"/>
              </w:rPr>
              <w:t xml:space="preserve">甲方（章）           </w:t>
            </w:r>
          </w:p>
          <w:p>
            <w:pPr>
              <w:snapToGrid w:val="0"/>
              <w:spacing w:line="400" w:lineRule="exact"/>
              <w:rPr>
                <w:rFonts w:ascii="宋体" w:hAnsi="宋体"/>
                <w:szCs w:val="21"/>
              </w:rPr>
            </w:pPr>
          </w:p>
          <w:p>
            <w:pPr>
              <w:snapToGrid w:val="0"/>
              <w:spacing w:line="400" w:lineRule="exact"/>
              <w:ind w:firstLine="945" w:firstLineChars="450"/>
              <w:jc w:val="right"/>
              <w:rPr>
                <w:rFonts w:ascii="宋体" w:hAnsi="宋体"/>
                <w:szCs w:val="21"/>
              </w:rPr>
            </w:pPr>
            <w:r>
              <w:rPr>
                <w:rFonts w:hint="eastAsia" w:ascii="宋体" w:hAnsi="宋体"/>
                <w:szCs w:val="21"/>
              </w:rPr>
              <w:t>年   月   日</w:t>
            </w:r>
          </w:p>
        </w:tc>
        <w:tc>
          <w:tcPr>
            <w:tcW w:w="4264" w:type="dxa"/>
            <w:vAlign w:val="center"/>
          </w:tcPr>
          <w:p>
            <w:pPr>
              <w:snapToGrid w:val="0"/>
              <w:spacing w:line="400" w:lineRule="exact"/>
              <w:rPr>
                <w:rFonts w:ascii="宋体" w:hAnsi="宋体"/>
                <w:szCs w:val="21"/>
              </w:rPr>
            </w:pPr>
            <w:r>
              <w:rPr>
                <w:rFonts w:hint="eastAsia" w:ascii="宋体" w:hAnsi="宋体"/>
                <w:szCs w:val="21"/>
              </w:rPr>
              <w:t xml:space="preserve">乙方（章）              </w:t>
            </w:r>
          </w:p>
          <w:p>
            <w:pPr>
              <w:snapToGrid w:val="0"/>
              <w:spacing w:line="400" w:lineRule="exact"/>
              <w:rPr>
                <w:rFonts w:ascii="宋体" w:hAnsi="宋体"/>
                <w:szCs w:val="21"/>
              </w:rPr>
            </w:pPr>
          </w:p>
          <w:p>
            <w:pPr>
              <w:snapToGrid w:val="0"/>
              <w:spacing w:line="400" w:lineRule="exact"/>
              <w:jc w:val="right"/>
              <w:rPr>
                <w:rFonts w:ascii="宋体" w:hAnsi="宋体"/>
                <w:szCs w:val="21"/>
              </w:rPr>
            </w:pPr>
            <w:r>
              <w:rPr>
                <w:rFonts w:hint="eastAsia" w:ascii="宋体" w:hAns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Cs w:val="21"/>
              </w:rPr>
            </w:pPr>
            <w:r>
              <w:rPr>
                <w:rFonts w:hint="eastAsia" w:ascii="宋体" w:hAnsi="宋体"/>
                <w:szCs w:val="21"/>
              </w:rPr>
              <w:t>单位地址：</w:t>
            </w:r>
          </w:p>
        </w:tc>
        <w:tc>
          <w:tcPr>
            <w:tcW w:w="4264" w:type="dxa"/>
            <w:vAlign w:val="center"/>
          </w:tcPr>
          <w:p>
            <w:pPr>
              <w:snapToGrid w:val="0"/>
              <w:spacing w:line="400" w:lineRule="exact"/>
              <w:rPr>
                <w:rFonts w:ascii="宋体" w:hAnsi="宋体"/>
                <w:szCs w:val="21"/>
              </w:rPr>
            </w:pPr>
            <w:r>
              <w:rPr>
                <w:rFonts w:hint="eastAsia" w:ascii="宋体" w:hAnsi="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Cs w:val="21"/>
              </w:rPr>
            </w:pPr>
            <w:r>
              <w:rPr>
                <w:rFonts w:hint="eastAsia" w:ascii="宋体" w:hAnsi="宋体"/>
                <w:szCs w:val="21"/>
              </w:rPr>
              <w:t>法定代表人：</w:t>
            </w:r>
          </w:p>
        </w:tc>
        <w:tc>
          <w:tcPr>
            <w:tcW w:w="4264" w:type="dxa"/>
            <w:vAlign w:val="center"/>
          </w:tcPr>
          <w:p>
            <w:pPr>
              <w:snapToGrid w:val="0"/>
              <w:spacing w:line="400" w:lineRule="exact"/>
              <w:rPr>
                <w:rFonts w:ascii="宋体" w:hAnsi="宋体"/>
                <w:szCs w:val="21"/>
              </w:rPr>
            </w:pPr>
            <w:r>
              <w:rPr>
                <w:rFonts w:hint="eastAsia" w:ascii="宋体" w:hAnsi="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Cs w:val="21"/>
              </w:rPr>
            </w:pPr>
            <w:r>
              <w:rPr>
                <w:rFonts w:hint="eastAsia" w:ascii="宋体" w:hAnsi="宋体"/>
                <w:szCs w:val="21"/>
              </w:rPr>
              <w:t>委托代理人：</w:t>
            </w:r>
          </w:p>
        </w:tc>
        <w:tc>
          <w:tcPr>
            <w:tcW w:w="4264" w:type="dxa"/>
            <w:vAlign w:val="center"/>
          </w:tcPr>
          <w:p>
            <w:pPr>
              <w:snapToGrid w:val="0"/>
              <w:spacing w:line="400" w:lineRule="exact"/>
              <w:rPr>
                <w:rFonts w:ascii="宋体" w:hAnsi="宋体"/>
                <w:szCs w:val="21"/>
              </w:rPr>
            </w:pPr>
            <w:r>
              <w:rPr>
                <w:rFonts w:hint="eastAsia" w:ascii="宋体" w:hAnsi="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Cs w:val="21"/>
              </w:rPr>
            </w:pPr>
            <w:r>
              <w:rPr>
                <w:rFonts w:hint="eastAsia" w:ascii="宋体" w:hAnsi="宋体"/>
                <w:szCs w:val="21"/>
              </w:rPr>
              <w:t>电话：</w:t>
            </w:r>
          </w:p>
        </w:tc>
        <w:tc>
          <w:tcPr>
            <w:tcW w:w="4264" w:type="dxa"/>
            <w:vAlign w:val="center"/>
          </w:tcPr>
          <w:p>
            <w:pPr>
              <w:snapToGrid w:val="0"/>
              <w:spacing w:line="400" w:lineRule="exact"/>
              <w:rPr>
                <w:rFonts w:ascii="宋体" w:hAnsi="宋体"/>
                <w:szCs w:val="21"/>
              </w:rPr>
            </w:pPr>
            <w:r>
              <w:rPr>
                <w:rFonts w:hint="eastAsia" w:ascii="宋体" w:hAns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Cs w:val="21"/>
              </w:rPr>
            </w:pPr>
            <w:r>
              <w:rPr>
                <w:rFonts w:hint="eastAsia" w:ascii="宋体" w:hAnsi="宋体"/>
                <w:szCs w:val="21"/>
              </w:rPr>
              <w:t>电子邮箱：</w:t>
            </w:r>
          </w:p>
        </w:tc>
        <w:tc>
          <w:tcPr>
            <w:tcW w:w="4264" w:type="dxa"/>
            <w:vAlign w:val="center"/>
          </w:tcPr>
          <w:p>
            <w:pPr>
              <w:snapToGrid w:val="0"/>
              <w:spacing w:line="400" w:lineRule="exact"/>
              <w:rPr>
                <w:rFonts w:ascii="宋体" w:hAnsi="宋体"/>
                <w:szCs w:val="21"/>
              </w:rPr>
            </w:pPr>
            <w:r>
              <w:rPr>
                <w:rFonts w:hint="eastAsia" w:ascii="宋体" w:hAnsi="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Cs w:val="21"/>
              </w:rPr>
            </w:pPr>
            <w:r>
              <w:rPr>
                <w:rFonts w:hint="eastAsia" w:ascii="宋体" w:hAnsi="宋体"/>
                <w:szCs w:val="21"/>
              </w:rPr>
              <w:t>开户银行：</w:t>
            </w:r>
          </w:p>
        </w:tc>
        <w:tc>
          <w:tcPr>
            <w:tcW w:w="4264" w:type="dxa"/>
            <w:vAlign w:val="center"/>
          </w:tcPr>
          <w:p>
            <w:pPr>
              <w:snapToGrid w:val="0"/>
              <w:spacing w:line="400" w:lineRule="exact"/>
              <w:rPr>
                <w:rFonts w:ascii="宋体" w:hAnsi="宋体"/>
                <w:szCs w:val="21"/>
              </w:rPr>
            </w:pPr>
            <w:r>
              <w:rPr>
                <w:rFonts w:hint="eastAsia" w:ascii="宋体" w:hAns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Cs w:val="21"/>
              </w:rPr>
            </w:pPr>
            <w:r>
              <w:rPr>
                <w:rFonts w:hint="eastAsia" w:ascii="宋体" w:hAnsi="宋体"/>
                <w:szCs w:val="21"/>
              </w:rPr>
              <w:t>账号：</w:t>
            </w:r>
          </w:p>
        </w:tc>
        <w:tc>
          <w:tcPr>
            <w:tcW w:w="4264" w:type="dxa"/>
            <w:vAlign w:val="center"/>
          </w:tcPr>
          <w:p>
            <w:pPr>
              <w:snapToGrid w:val="0"/>
              <w:spacing w:line="400" w:lineRule="exact"/>
              <w:rPr>
                <w:rFonts w:ascii="宋体" w:hAnsi="宋体"/>
                <w:szCs w:val="21"/>
              </w:rPr>
            </w:pPr>
            <w:r>
              <w:rPr>
                <w:rFonts w:hint="eastAsia" w:ascii="宋体" w:hAnsi="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rPr>
                <w:rFonts w:ascii="宋体" w:hAnsi="宋体"/>
                <w:szCs w:val="21"/>
              </w:rPr>
            </w:pPr>
            <w:r>
              <w:rPr>
                <w:rFonts w:hint="eastAsia" w:ascii="宋体" w:hAnsi="宋体"/>
                <w:szCs w:val="21"/>
              </w:rPr>
              <w:t>纳税人识别号或统一社会信用代码：</w:t>
            </w:r>
          </w:p>
        </w:tc>
        <w:tc>
          <w:tcPr>
            <w:tcW w:w="4264" w:type="dxa"/>
            <w:vAlign w:val="center"/>
          </w:tcPr>
          <w:p>
            <w:pPr>
              <w:snapToGrid w:val="0"/>
              <w:rPr>
                <w:rFonts w:ascii="宋体" w:hAnsi="宋体"/>
                <w:szCs w:val="21"/>
              </w:rPr>
            </w:pPr>
            <w:r>
              <w:rPr>
                <w:rFonts w:hint="eastAsia" w:ascii="宋体" w:hAnsi="宋体"/>
                <w:szCs w:val="21"/>
              </w:rPr>
              <w:t>纳税人识别号或统一社会信用代码：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64" w:type="dxa"/>
            <w:vAlign w:val="center"/>
          </w:tcPr>
          <w:p>
            <w:pPr>
              <w:snapToGrid w:val="0"/>
              <w:spacing w:line="400" w:lineRule="exact"/>
              <w:rPr>
                <w:rFonts w:ascii="宋体" w:hAnsi="宋体"/>
                <w:szCs w:val="21"/>
              </w:rPr>
            </w:pPr>
            <w:r>
              <w:rPr>
                <w:rFonts w:hint="eastAsia" w:ascii="宋体" w:hAnsi="宋体"/>
                <w:szCs w:val="21"/>
              </w:rPr>
              <w:t>邮政编码：</w:t>
            </w:r>
          </w:p>
        </w:tc>
        <w:tc>
          <w:tcPr>
            <w:tcW w:w="4264" w:type="dxa"/>
            <w:vAlign w:val="center"/>
          </w:tcPr>
          <w:p>
            <w:pPr>
              <w:snapToGrid w:val="0"/>
              <w:spacing w:line="400" w:lineRule="exact"/>
              <w:rPr>
                <w:rFonts w:ascii="宋体" w:hAnsi="宋体"/>
                <w:szCs w:val="21"/>
              </w:rPr>
            </w:pPr>
            <w:r>
              <w:rPr>
                <w:rFonts w:hint="eastAsia" w:ascii="宋体" w:hAnsi="宋体"/>
                <w:szCs w:val="21"/>
              </w:rPr>
              <w:t>邮政编码：</w:t>
            </w:r>
          </w:p>
        </w:tc>
      </w:tr>
    </w:tbl>
    <w:p>
      <w:pPr>
        <w:spacing w:line="600" w:lineRule="exact"/>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F075E6"/>
    <w:rsid w:val="001556C1"/>
    <w:rsid w:val="002422AE"/>
    <w:rsid w:val="00305B05"/>
    <w:rsid w:val="003A7E6B"/>
    <w:rsid w:val="003F1145"/>
    <w:rsid w:val="003F2F6C"/>
    <w:rsid w:val="00413E5D"/>
    <w:rsid w:val="00456850"/>
    <w:rsid w:val="0049104D"/>
    <w:rsid w:val="00514C7B"/>
    <w:rsid w:val="005313B7"/>
    <w:rsid w:val="00536623"/>
    <w:rsid w:val="006631DE"/>
    <w:rsid w:val="006C21E2"/>
    <w:rsid w:val="007B17C1"/>
    <w:rsid w:val="00894ED8"/>
    <w:rsid w:val="00A43656"/>
    <w:rsid w:val="00AA5310"/>
    <w:rsid w:val="00AB0DE4"/>
    <w:rsid w:val="00B52976"/>
    <w:rsid w:val="00B94C97"/>
    <w:rsid w:val="00BD3E7F"/>
    <w:rsid w:val="00BF726A"/>
    <w:rsid w:val="00C07B6D"/>
    <w:rsid w:val="00CE760E"/>
    <w:rsid w:val="00E054B9"/>
    <w:rsid w:val="00F47395"/>
    <w:rsid w:val="00FB017D"/>
    <w:rsid w:val="027254BE"/>
    <w:rsid w:val="03174655"/>
    <w:rsid w:val="037A0698"/>
    <w:rsid w:val="03FA2146"/>
    <w:rsid w:val="04654FA9"/>
    <w:rsid w:val="04BF7FA8"/>
    <w:rsid w:val="071006E6"/>
    <w:rsid w:val="0ADE262C"/>
    <w:rsid w:val="0D58241A"/>
    <w:rsid w:val="0E6E2B8C"/>
    <w:rsid w:val="0F701C27"/>
    <w:rsid w:val="120A1566"/>
    <w:rsid w:val="131862D2"/>
    <w:rsid w:val="13E839A6"/>
    <w:rsid w:val="1594272B"/>
    <w:rsid w:val="163F33D6"/>
    <w:rsid w:val="16AB0CF2"/>
    <w:rsid w:val="1A03787B"/>
    <w:rsid w:val="1A2062D4"/>
    <w:rsid w:val="1AAC74FC"/>
    <w:rsid w:val="1B9136B5"/>
    <w:rsid w:val="1EC07996"/>
    <w:rsid w:val="1EF44979"/>
    <w:rsid w:val="20FB20A1"/>
    <w:rsid w:val="219B4951"/>
    <w:rsid w:val="25EB6307"/>
    <w:rsid w:val="29B12ACC"/>
    <w:rsid w:val="2D445499"/>
    <w:rsid w:val="2D884443"/>
    <w:rsid w:val="2E4273FD"/>
    <w:rsid w:val="2EC85078"/>
    <w:rsid w:val="30383746"/>
    <w:rsid w:val="31E374A5"/>
    <w:rsid w:val="327E7157"/>
    <w:rsid w:val="32C33C3C"/>
    <w:rsid w:val="3354324F"/>
    <w:rsid w:val="377948D5"/>
    <w:rsid w:val="377F062E"/>
    <w:rsid w:val="39C52295"/>
    <w:rsid w:val="3BF558BD"/>
    <w:rsid w:val="3CE014E1"/>
    <w:rsid w:val="3D034EBD"/>
    <w:rsid w:val="4212672E"/>
    <w:rsid w:val="43745174"/>
    <w:rsid w:val="44237766"/>
    <w:rsid w:val="44F075E6"/>
    <w:rsid w:val="477B5973"/>
    <w:rsid w:val="47A979E5"/>
    <w:rsid w:val="4A637A1C"/>
    <w:rsid w:val="4A8E02BD"/>
    <w:rsid w:val="4AB42602"/>
    <w:rsid w:val="4AC976E9"/>
    <w:rsid w:val="4CC613C9"/>
    <w:rsid w:val="4D4349B5"/>
    <w:rsid w:val="4DCC6787"/>
    <w:rsid w:val="4E803427"/>
    <w:rsid w:val="503F4C84"/>
    <w:rsid w:val="50C77A25"/>
    <w:rsid w:val="50ED3B12"/>
    <w:rsid w:val="52D629B4"/>
    <w:rsid w:val="541972B7"/>
    <w:rsid w:val="55610FAF"/>
    <w:rsid w:val="57D621E3"/>
    <w:rsid w:val="57E225F1"/>
    <w:rsid w:val="57E35EC5"/>
    <w:rsid w:val="58D63B4C"/>
    <w:rsid w:val="58EB416C"/>
    <w:rsid w:val="5E5A0D57"/>
    <w:rsid w:val="64854B24"/>
    <w:rsid w:val="67560E68"/>
    <w:rsid w:val="694A6B43"/>
    <w:rsid w:val="6B504408"/>
    <w:rsid w:val="6B726FC0"/>
    <w:rsid w:val="6D4B77D9"/>
    <w:rsid w:val="6D8B2499"/>
    <w:rsid w:val="6EF80D27"/>
    <w:rsid w:val="70F432F3"/>
    <w:rsid w:val="7292688E"/>
    <w:rsid w:val="731931A5"/>
    <w:rsid w:val="74DA3B6C"/>
    <w:rsid w:val="7EFC12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1"/>
    <w:qFormat/>
    <w:uiPriority w:val="0"/>
    <w:pPr>
      <w:ind w:firstLine="420"/>
    </w:pPr>
    <w:rPr>
      <w:rFonts w:ascii="Calibri" w:hAnsi="Calibri"/>
      <w:szCs w:val="20"/>
    </w:rPr>
  </w:style>
  <w:style w:type="paragraph" w:styleId="3">
    <w:name w:val="Body Text"/>
    <w:basedOn w:val="1"/>
    <w:qFormat/>
    <w:uiPriority w:val="99"/>
    <w:pPr>
      <w:spacing w:after="120"/>
    </w:pPr>
  </w:style>
  <w:style w:type="paragraph" w:styleId="4">
    <w:name w:val="Body Text Indent"/>
    <w:basedOn w:val="1"/>
    <w:qFormat/>
    <w:uiPriority w:val="0"/>
    <w:pPr>
      <w:tabs>
        <w:tab w:val="left" w:pos="420"/>
      </w:tabs>
      <w:spacing w:line="360" w:lineRule="auto"/>
      <w:ind w:left="420" w:firstLine="420" w:firstLineChars="200"/>
    </w:pPr>
  </w:style>
  <w:style w:type="paragraph" w:styleId="5">
    <w:name w:val="Plain Text"/>
    <w:basedOn w:val="1"/>
    <w:qFormat/>
    <w:uiPriority w:val="0"/>
    <w:rPr>
      <w:rFonts w:ascii="宋体" w:hAnsi="Courier New"/>
      <w:kern w:val="0"/>
      <w:sz w:val="20"/>
      <w:szCs w:val="21"/>
    </w:rPr>
  </w:style>
  <w:style w:type="paragraph" w:styleId="6">
    <w:name w:val="Balloon Text"/>
    <w:basedOn w:val="1"/>
    <w:link w:val="17"/>
    <w:qFormat/>
    <w:uiPriority w:val="0"/>
    <w:rPr>
      <w:sz w:val="18"/>
      <w:szCs w:val="18"/>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qFormat/>
    <w:uiPriority w:val="0"/>
    <w:rPr>
      <w:color w:val="0000FF"/>
      <w:u w:val="single"/>
    </w:rPr>
  </w:style>
  <w:style w:type="paragraph" w:styleId="14">
    <w:name w:val="List Paragraph"/>
    <w:basedOn w:val="1"/>
    <w:qFormat/>
    <w:uiPriority w:val="34"/>
    <w:pPr>
      <w:ind w:firstLine="420" w:firstLineChars="200"/>
    </w:pPr>
  </w:style>
  <w:style w:type="character" w:customStyle="1" w:styleId="15">
    <w:name w:val="font21"/>
    <w:basedOn w:val="12"/>
    <w:qFormat/>
    <w:uiPriority w:val="0"/>
    <w:rPr>
      <w:rFonts w:hint="eastAsia" w:ascii="宋体" w:hAnsi="宋体" w:eastAsia="宋体" w:cs="宋体"/>
      <w:color w:val="000000"/>
      <w:sz w:val="21"/>
      <w:szCs w:val="21"/>
      <w:u w:val="none"/>
    </w:rPr>
  </w:style>
  <w:style w:type="character" w:customStyle="1" w:styleId="16">
    <w:name w:val="font11"/>
    <w:basedOn w:val="12"/>
    <w:qFormat/>
    <w:uiPriority w:val="0"/>
    <w:rPr>
      <w:rFonts w:ascii="Calibri" w:hAnsi="Calibri" w:cs="Calibri"/>
      <w:color w:val="000000"/>
      <w:sz w:val="21"/>
      <w:szCs w:val="21"/>
      <w:u w:val="none"/>
    </w:rPr>
  </w:style>
  <w:style w:type="character" w:customStyle="1" w:styleId="17">
    <w:name w:val="批注框文本 Char"/>
    <w:basedOn w:val="12"/>
    <w:link w:val="6"/>
    <w:qFormat/>
    <w:uiPriority w:val="0"/>
    <w:rPr>
      <w:rFonts w:asciiTheme="minorHAnsi" w:hAnsiTheme="minorHAnsi" w:eastAsiaTheme="minorEastAsia" w:cstheme="minorBidi"/>
      <w:kern w:val="2"/>
      <w:sz w:val="18"/>
      <w:szCs w:val="18"/>
    </w:rPr>
  </w:style>
  <w:style w:type="character" w:customStyle="1" w:styleId="18">
    <w:name w:val="页眉 Char"/>
    <w:basedOn w:val="12"/>
    <w:link w:val="8"/>
    <w:qFormat/>
    <w:uiPriority w:val="0"/>
    <w:rPr>
      <w:rFonts w:asciiTheme="minorHAnsi" w:hAnsiTheme="minorHAnsi" w:eastAsiaTheme="minorEastAsia" w:cstheme="minorBidi"/>
      <w:kern w:val="2"/>
      <w:sz w:val="18"/>
      <w:szCs w:val="18"/>
    </w:rPr>
  </w:style>
  <w:style w:type="character" w:customStyle="1" w:styleId="19">
    <w:name w:val="页脚 Char"/>
    <w:basedOn w:val="12"/>
    <w:link w:val="7"/>
    <w:qFormat/>
    <w:uiPriority w:val="0"/>
    <w:rPr>
      <w:rFonts w:asciiTheme="minorHAnsi" w:hAnsiTheme="minorHAnsi" w:eastAsiaTheme="minorEastAsia" w:cstheme="minorBidi"/>
      <w:kern w:val="2"/>
      <w:sz w:val="18"/>
      <w:szCs w:val="18"/>
    </w:rPr>
  </w:style>
  <w:style w:type="character" w:customStyle="1" w:styleId="20">
    <w:name w:val="font01"/>
    <w:basedOn w:val="12"/>
    <w:qFormat/>
    <w:uiPriority w:val="0"/>
    <w:rPr>
      <w:rFonts w:hint="eastAsia" w:ascii="宋体" w:hAnsi="宋体" w:eastAsia="宋体" w:cs="宋体"/>
      <w:color w:val="000000"/>
      <w:sz w:val="24"/>
      <w:szCs w:val="24"/>
      <w:u w:val="none"/>
    </w:rPr>
  </w:style>
  <w:style w:type="character" w:customStyle="1" w:styleId="21">
    <w:name w:val="正文缩进 Char"/>
    <w:link w:val="2"/>
    <w:qFormat/>
    <w:uiPriority w:val="0"/>
    <w:rPr>
      <w:rFonts w:eastAsiaTheme="minorEastAsia" w:cstheme="minorBidi"/>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619</Words>
  <Characters>3532</Characters>
  <Lines>29</Lines>
  <Paragraphs>8</Paragraphs>
  <TotalTime>13</TotalTime>
  <ScaleCrop>false</ScaleCrop>
  <LinksUpToDate>false</LinksUpToDate>
  <CharactersWithSpaces>4143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2020-10-30T02:24:00Z</dcterms:created>
  <dc:creator>小楼◇YL</dc:creator>
  <cp:lastModifiedBy>李克元</cp:lastModifiedBy>
  <cp:lastPrinted>2019-06-24T03:00:00Z</cp:lastPrinted>
  <dcterms:modified xsi:type="dcterms:W3CDTF">2020-11-09T08:00:00Z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