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 w:hAnsi="仿宋" w:eastAsia="仿宋" w:cs="仿宋"/>
          <w:b/>
          <w:sz w:val="32"/>
          <w:szCs w:val="32"/>
        </w:rPr>
      </w:pPr>
      <w:r>
        <w:rPr>
          <w:rFonts w:hint="eastAsia" w:ascii="仿宋" w:hAnsi="仿宋" w:eastAsia="仿宋" w:cs="仿宋"/>
          <w:b/>
          <w:sz w:val="30"/>
          <w:szCs w:val="30"/>
        </w:rPr>
        <w:t xml:space="preserve">   </w:t>
      </w:r>
      <w:r>
        <w:rPr>
          <w:rFonts w:hint="eastAsia" w:ascii="仿宋" w:hAnsi="仿宋" w:eastAsia="仿宋" w:cs="仿宋"/>
          <w:b/>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36"/>
          <w:szCs w:val="36"/>
        </w:rPr>
      </w:pPr>
      <w:r>
        <w:rPr>
          <w:rFonts w:hint="eastAsia" w:ascii="宋体" w:hAnsi="宋体" w:eastAsia="宋体" w:cs="宋体"/>
          <w:sz w:val="32"/>
          <w:szCs w:val="32"/>
        </w:rPr>
        <w:t>附件2：</w:t>
      </w:r>
      <w:r>
        <w:rPr>
          <w:rFonts w:hint="eastAsia" w:ascii="宋体" w:hAnsi="宋体" w:eastAsia="宋体" w:cs="宋体"/>
          <w:sz w:val="32"/>
          <w:szCs w:val="32"/>
          <w:lang w:val="en-US" w:eastAsia="zh-CN"/>
        </w:rPr>
        <w:t xml:space="preserve">  </w:t>
      </w:r>
      <w:bookmarkStart w:id="0" w:name="_GoBack"/>
      <w:bookmarkEnd w:id="0"/>
      <w:r>
        <w:rPr>
          <w:rFonts w:hint="eastAsia" w:ascii="宋体" w:hAnsi="宋体" w:eastAsia="宋体" w:cs="宋体"/>
          <w:b w:val="0"/>
          <w:bCs/>
          <w:sz w:val="36"/>
          <w:szCs w:val="36"/>
          <w:lang w:val="en-US" w:eastAsia="zh-CN"/>
        </w:rPr>
        <w:t>广联达</w:t>
      </w:r>
      <w:r>
        <w:rPr>
          <w:rFonts w:hint="eastAsia" w:ascii="宋体" w:hAnsi="宋体" w:eastAsia="宋体" w:cs="宋体"/>
          <w:b w:val="0"/>
          <w:bCs/>
          <w:sz w:val="36"/>
          <w:szCs w:val="36"/>
        </w:rPr>
        <w:t>BIM教学仪器设备</w:t>
      </w:r>
      <w:r>
        <w:rPr>
          <w:rFonts w:hint="eastAsia" w:ascii="宋体" w:hAnsi="宋体" w:eastAsia="宋体" w:cs="宋体"/>
          <w:b w:val="0"/>
          <w:bCs/>
          <w:sz w:val="36"/>
          <w:szCs w:val="36"/>
          <w:lang w:val="en-US" w:eastAsia="zh-CN"/>
        </w:rPr>
        <w:t>采购</w:t>
      </w:r>
      <w:r>
        <w:rPr>
          <w:rFonts w:hint="eastAsia" w:ascii="宋体" w:hAnsi="宋体" w:eastAsia="宋体" w:cs="宋体"/>
          <w:sz w:val="36"/>
          <w:szCs w:val="36"/>
        </w:rPr>
        <w:t>协议书</w:t>
      </w:r>
    </w:p>
    <w:p>
      <w:pPr>
        <w:snapToGrid w:val="0"/>
        <w:spacing w:line="400" w:lineRule="exact"/>
        <w:rPr>
          <w:rFonts w:hint="eastAsia" w:ascii="仿宋" w:hAnsi="仿宋" w:eastAsia="仿宋" w:cs="仿宋"/>
          <w:sz w:val="28"/>
          <w:szCs w:val="28"/>
        </w:rPr>
      </w:pPr>
    </w:p>
    <w:p>
      <w:pPr>
        <w:snapToGrid w:val="0"/>
        <w:spacing w:line="400" w:lineRule="exact"/>
        <w:rPr>
          <w:rFonts w:ascii="仿宋" w:hAnsi="仿宋" w:eastAsia="仿宋" w:cs="仿宋"/>
          <w:sz w:val="28"/>
          <w:szCs w:val="28"/>
        </w:rPr>
      </w:pPr>
      <w:r>
        <w:rPr>
          <w:rFonts w:hint="eastAsia" w:ascii="仿宋" w:hAnsi="仿宋" w:eastAsia="仿宋" w:cs="仿宋"/>
          <w:sz w:val="28"/>
          <w:szCs w:val="28"/>
        </w:rPr>
        <w:t>采购单位（甲方）</w:t>
      </w:r>
      <w:r>
        <w:rPr>
          <w:rFonts w:hint="eastAsia" w:ascii="仿宋" w:hAnsi="仿宋" w:eastAsia="仿宋" w:cs="仿宋"/>
          <w:sz w:val="28"/>
          <w:szCs w:val="28"/>
          <w:u w:val="single"/>
        </w:rPr>
        <w:t xml:space="preserve">  广西交通职业技术学院   </w:t>
      </w:r>
      <w:r>
        <w:rPr>
          <w:rFonts w:hint="eastAsia" w:ascii="仿宋" w:hAnsi="仿宋" w:eastAsia="仿宋" w:cs="仿宋"/>
          <w:sz w:val="28"/>
          <w:szCs w:val="28"/>
        </w:rPr>
        <w:t xml:space="preserve">  </w:t>
      </w:r>
    </w:p>
    <w:p>
      <w:pPr>
        <w:snapToGrid w:val="0"/>
        <w:spacing w:line="400" w:lineRule="exact"/>
        <w:rPr>
          <w:rFonts w:ascii="仿宋" w:hAnsi="仿宋" w:eastAsia="仿宋" w:cs="仿宋"/>
          <w:sz w:val="28"/>
          <w:szCs w:val="28"/>
          <w:u w:val="single"/>
        </w:rPr>
      </w:pPr>
      <w:r>
        <w:rPr>
          <w:rFonts w:hint="eastAsia" w:ascii="仿宋" w:hAnsi="仿宋" w:eastAsia="仿宋" w:cs="仿宋"/>
          <w:sz w:val="28"/>
          <w:szCs w:val="28"/>
        </w:rPr>
        <w:t>供 应 商（乙方）</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400" w:lineRule="exact"/>
        <w:rPr>
          <w:rFonts w:ascii="仿宋" w:hAnsi="仿宋" w:eastAsia="仿宋" w:cs="仿宋"/>
          <w:sz w:val="28"/>
          <w:szCs w:val="28"/>
          <w:u w:val="single"/>
        </w:rPr>
      </w:pPr>
      <w:r>
        <w:rPr>
          <w:rFonts w:hint="eastAsia" w:ascii="仿宋" w:hAnsi="仿宋" w:eastAsia="仿宋" w:cs="仿宋"/>
          <w:sz w:val="28"/>
          <w:szCs w:val="28"/>
        </w:rPr>
        <w:t xml:space="preserve">签  订  地  点  </w:t>
      </w:r>
      <w:r>
        <w:rPr>
          <w:rFonts w:hint="eastAsia" w:ascii="仿宋" w:hAnsi="仿宋" w:eastAsia="仿宋" w:cs="仿宋"/>
          <w:sz w:val="28"/>
          <w:szCs w:val="28"/>
          <w:u w:val="single"/>
        </w:rPr>
        <w:t xml:space="preserve">     广西南宁   </w:t>
      </w:r>
      <w:r>
        <w:rPr>
          <w:rFonts w:hint="eastAsia" w:ascii="仿宋" w:hAnsi="仿宋" w:eastAsia="仿宋" w:cs="仿宋"/>
          <w:sz w:val="28"/>
          <w:szCs w:val="28"/>
        </w:rPr>
        <w:t xml:space="preserve">   签 订 时 间</w:t>
      </w:r>
      <w:r>
        <w:rPr>
          <w:rFonts w:hint="eastAsia" w:ascii="仿宋" w:hAnsi="仿宋" w:eastAsia="仿宋" w:cs="仿宋"/>
          <w:sz w:val="28"/>
          <w:szCs w:val="28"/>
          <w:u w:val="single"/>
        </w:rPr>
        <w:t xml:space="preserve">                    </w:t>
      </w:r>
    </w:p>
    <w:p>
      <w:pPr>
        <w:snapToGrid w:val="0"/>
        <w:spacing w:line="400" w:lineRule="exact"/>
        <w:ind w:firstLine="560" w:firstLineChars="200"/>
        <w:rPr>
          <w:rFonts w:ascii="仿宋" w:hAnsi="仿宋" w:eastAsia="仿宋" w:cs="仿宋"/>
          <w:sz w:val="28"/>
          <w:szCs w:val="28"/>
        </w:rPr>
      </w:pP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根据《中华人民共和国政府采购法》、《中华人民共和国合同法》等法律、法规规定，按照招投标文件（采购文件）规定条款和中标（成交）供应商承诺，甲乙双方签订本合同。</w:t>
      </w:r>
    </w:p>
    <w:p>
      <w:pPr>
        <w:snapToGrid w:val="0"/>
        <w:spacing w:line="400" w:lineRule="exact"/>
        <w:ind w:firstLine="562" w:firstLineChars="200"/>
        <w:rPr>
          <w:rFonts w:ascii="仿宋" w:hAnsi="仿宋" w:eastAsia="仿宋" w:cs="仿宋"/>
          <w:b/>
          <w:sz w:val="28"/>
          <w:szCs w:val="28"/>
        </w:rPr>
      </w:pPr>
      <w:r>
        <w:rPr>
          <w:rFonts w:hint="eastAsia" w:ascii="仿宋" w:hAnsi="仿宋" w:eastAsia="仿宋" w:cs="仿宋"/>
          <w:b/>
          <w:sz w:val="28"/>
          <w:szCs w:val="28"/>
        </w:rPr>
        <w:t>第一条　合同标的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服务项目参数一览表</w:t>
      </w:r>
    </w:p>
    <w:tbl>
      <w:tblPr>
        <w:tblStyle w:val="8"/>
        <w:tblW w:w="8631" w:type="dxa"/>
        <w:tblInd w:w="93" w:type="dxa"/>
        <w:tblLayout w:type="fixed"/>
        <w:tblCellMar>
          <w:top w:w="0" w:type="dxa"/>
          <w:left w:w="108" w:type="dxa"/>
          <w:bottom w:w="0" w:type="dxa"/>
          <w:right w:w="108" w:type="dxa"/>
        </w:tblCellMar>
      </w:tblPr>
      <w:tblGrid>
        <w:gridCol w:w="656"/>
        <w:gridCol w:w="1510"/>
        <w:gridCol w:w="3240"/>
        <w:gridCol w:w="645"/>
        <w:gridCol w:w="750"/>
        <w:gridCol w:w="825"/>
        <w:gridCol w:w="1005"/>
      </w:tblGrid>
      <w:tr>
        <w:tblPrEx>
          <w:tblCellMar>
            <w:top w:w="0" w:type="dxa"/>
            <w:left w:w="108" w:type="dxa"/>
            <w:bottom w:w="0" w:type="dxa"/>
            <w:right w:w="108" w:type="dxa"/>
          </w:tblCellMar>
        </w:tblPrEx>
        <w:trPr>
          <w:trHeight w:val="710" w:hRule="atLeast"/>
          <w:tblHead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货物（服务、工程）名称</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规格型号</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单价（元）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金额合计（元）</w:t>
            </w:r>
          </w:p>
        </w:tc>
      </w:tr>
      <w:tr>
        <w:tblPrEx>
          <w:tblCellMar>
            <w:top w:w="0" w:type="dxa"/>
            <w:left w:w="108" w:type="dxa"/>
            <w:bottom w:w="0" w:type="dxa"/>
            <w:right w:w="108" w:type="dxa"/>
          </w:tblCellMar>
        </w:tblPrEx>
        <w:trPr>
          <w:trHeight w:val="104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Theme="minorEastAsia" w:hAnsiTheme="minorEastAsia" w:cstheme="minorEastAsia"/>
                <w:color w:val="000000"/>
                <w:kern w:val="0"/>
                <w:sz w:val="22"/>
                <w:lang w:bidi="ar"/>
              </w:rPr>
              <w:t>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Theme="minorEastAsia" w:hAnsiTheme="minorEastAsia" w:cstheme="minorEastAsia"/>
                <w:sz w:val="22"/>
              </w:rPr>
              <w:t>网络进度计划软件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sz w:val="22"/>
              </w:rPr>
            </w:pPr>
            <w:r>
              <w:rPr>
                <w:rFonts w:hint="eastAsia" w:asciiTheme="minorEastAsia" w:hAnsiTheme="minorEastAsia" w:cstheme="minorEastAsia"/>
                <w:sz w:val="22"/>
              </w:rPr>
              <w:t>1、★△软件需支持按照撑满纸张打印；</w:t>
            </w:r>
          </w:p>
          <w:p>
            <w:pPr>
              <w:rPr>
                <w:rFonts w:asciiTheme="minorEastAsia" w:hAnsiTheme="minorEastAsia" w:cstheme="minorEastAsia"/>
                <w:sz w:val="22"/>
              </w:rPr>
            </w:pPr>
            <w:r>
              <w:rPr>
                <w:rFonts w:hint="eastAsia" w:asciiTheme="minorEastAsia" w:hAnsiTheme="minorEastAsia" w:cstheme="minorEastAsia"/>
                <w:sz w:val="22"/>
              </w:rPr>
              <w:t>2、★△软件需支持导出wmf/jpg/png/excel/project/txt/pdf格式文件；</w:t>
            </w:r>
          </w:p>
          <w:p>
            <w:pPr>
              <w:rPr>
                <w:rFonts w:asciiTheme="minorEastAsia" w:hAnsiTheme="minorEastAsia" w:cstheme="minorEastAsia"/>
                <w:sz w:val="22"/>
              </w:rPr>
            </w:pPr>
            <w:r>
              <w:rPr>
                <w:rFonts w:hint="eastAsia" w:asciiTheme="minorEastAsia" w:hAnsiTheme="minorEastAsia" w:cstheme="minorEastAsia"/>
                <w:sz w:val="22"/>
              </w:rPr>
              <w:t>3、★软件需支持与project导入与导出；</w:t>
            </w:r>
          </w:p>
          <w:p>
            <w:pPr>
              <w:rPr>
                <w:rFonts w:asciiTheme="minorEastAsia" w:hAnsiTheme="minorEastAsia" w:cstheme="minorEastAsia"/>
                <w:sz w:val="22"/>
              </w:rPr>
            </w:pPr>
            <w:r>
              <w:rPr>
                <w:rFonts w:hint="eastAsia" w:asciiTheme="minorEastAsia" w:hAnsiTheme="minorEastAsia" w:cstheme="minorEastAsia"/>
                <w:sz w:val="22"/>
              </w:rPr>
              <w:t>4、软件支持横纵轴双代号时标网络图的绘制，可建立多个流水逻辑，横向代表时间，纵向代表楼层；</w:t>
            </w:r>
          </w:p>
          <w:p>
            <w:pPr>
              <w:rPr>
                <w:rFonts w:asciiTheme="minorEastAsia" w:hAnsiTheme="minorEastAsia" w:cstheme="minorEastAsia"/>
                <w:sz w:val="22"/>
              </w:rPr>
            </w:pPr>
            <w:r>
              <w:rPr>
                <w:rFonts w:hint="eastAsia" w:asciiTheme="minorEastAsia" w:hAnsiTheme="minorEastAsia" w:cstheme="minorEastAsia"/>
                <w:sz w:val="22"/>
              </w:rPr>
              <w:t>5、★软件可生成的施工进度计划图种类不少于7种，包含时标逻辑网络图、时标网络图、逻辑网络图、单代号网络图、横道图等，并且相互之间可以相互转换；</w:t>
            </w:r>
          </w:p>
          <w:p>
            <w:pPr>
              <w:rPr>
                <w:rFonts w:asciiTheme="minorEastAsia" w:hAnsiTheme="minorEastAsia" w:cstheme="minorEastAsia"/>
                <w:sz w:val="22"/>
              </w:rPr>
            </w:pPr>
            <w:r>
              <w:rPr>
                <w:rFonts w:hint="eastAsia" w:asciiTheme="minorEastAsia" w:hAnsiTheme="minorEastAsia" w:cstheme="minorEastAsia"/>
                <w:sz w:val="22"/>
              </w:rPr>
              <w:t>6、★△软件需支持前锋线功能，同时具有预测、拉直、分析和超期提示等作用；</w:t>
            </w:r>
          </w:p>
          <w:p>
            <w:pPr>
              <w:rPr>
                <w:rFonts w:asciiTheme="minorEastAsia" w:hAnsiTheme="minorEastAsia" w:cstheme="minorEastAsia"/>
                <w:sz w:val="22"/>
              </w:rPr>
            </w:pPr>
            <w:r>
              <w:rPr>
                <w:rFonts w:hint="eastAsia" w:asciiTheme="minorEastAsia" w:hAnsiTheme="minorEastAsia" w:cstheme="minorEastAsia"/>
                <w:sz w:val="22"/>
              </w:rPr>
              <w:t>7、软件自动生成的双代号时标网络图可以导入同类产品的BIM项目管理平台，实现模型与进度的结合，进行施工模拟。</w:t>
            </w:r>
          </w:p>
          <w:p>
            <w:pPr>
              <w:rPr>
                <w:rFonts w:asciiTheme="minorEastAsia" w:hAnsiTheme="minorEastAsia" w:cstheme="minorEastAsia"/>
                <w:sz w:val="22"/>
              </w:rPr>
            </w:pPr>
            <w:r>
              <w:rPr>
                <w:rFonts w:hint="eastAsia" w:asciiTheme="minorEastAsia" w:hAnsiTheme="minorEastAsia" w:cstheme="minorEastAsia"/>
                <w:sz w:val="22"/>
              </w:rPr>
              <w:t>8、软件支持自定义资源，同时也支持调用资源库资源进行资源曲线模拟分析；</w:t>
            </w:r>
          </w:p>
          <w:p>
            <w:pPr>
              <w:rPr>
                <w:rFonts w:asciiTheme="minorEastAsia" w:hAnsiTheme="minorEastAsia" w:cstheme="minorEastAsia"/>
                <w:sz w:val="22"/>
              </w:rPr>
            </w:pPr>
            <w:r>
              <w:rPr>
                <w:rFonts w:hint="eastAsia" w:asciiTheme="minorEastAsia" w:hAnsiTheme="minorEastAsia" w:cstheme="minorEastAsia"/>
                <w:sz w:val="22"/>
              </w:rPr>
              <w:t>9、软件支持插入图片与文字；</w:t>
            </w:r>
          </w:p>
          <w:p>
            <w:pPr>
              <w:rPr>
                <w:rFonts w:asciiTheme="minorEastAsia" w:hAnsiTheme="minorEastAsia" w:cstheme="minorEastAsia"/>
                <w:sz w:val="22"/>
              </w:rPr>
            </w:pPr>
            <w:r>
              <w:rPr>
                <w:rFonts w:hint="eastAsia" w:asciiTheme="minorEastAsia" w:hAnsiTheme="minorEastAsia" w:cstheme="minorEastAsia"/>
                <w:sz w:val="22"/>
              </w:rPr>
              <w:t>10、软件支持显示距离项目要求工期超出的时间；</w:t>
            </w:r>
          </w:p>
          <w:p>
            <w:pPr>
              <w:rPr>
                <w:rFonts w:asciiTheme="minorEastAsia" w:hAnsiTheme="minorEastAsia" w:cstheme="minorEastAsia"/>
                <w:sz w:val="22"/>
              </w:rPr>
            </w:pPr>
            <w:r>
              <w:rPr>
                <w:rFonts w:hint="eastAsia" w:asciiTheme="minorEastAsia" w:hAnsiTheme="minorEastAsia" w:cstheme="minorEastAsia"/>
                <w:sz w:val="22"/>
              </w:rPr>
              <w:t>11、软件云端内置了多项目施工进度的案例，可以快速生成施工进度计划，云端案例不少于3000份；                      网络进度评分软件单机版                1、基于自主研发平台，不以CAD为基础进行开发；</w:t>
            </w:r>
          </w:p>
          <w:p>
            <w:pPr>
              <w:rPr>
                <w:rFonts w:asciiTheme="minorEastAsia" w:hAnsiTheme="minorEastAsia" w:cstheme="minorEastAsia"/>
                <w:sz w:val="22"/>
              </w:rPr>
            </w:pPr>
            <w:r>
              <w:rPr>
                <w:rFonts w:hint="eastAsia" w:asciiTheme="minorEastAsia" w:hAnsiTheme="minorEastAsia" w:cstheme="minorEastAsia"/>
                <w:sz w:val="22"/>
              </w:rPr>
              <w:t>2、★△支持对施工进度计划进行自动评分；</w:t>
            </w:r>
          </w:p>
          <w:p>
            <w:pPr>
              <w:rPr>
                <w:rFonts w:asciiTheme="minorEastAsia" w:hAnsiTheme="minorEastAsia" w:cstheme="minorEastAsia"/>
                <w:sz w:val="22"/>
              </w:rPr>
            </w:pPr>
            <w:r>
              <w:rPr>
                <w:rFonts w:hint="eastAsia" w:asciiTheme="minorEastAsia" w:hAnsiTheme="minorEastAsia" w:cstheme="minorEastAsia"/>
                <w:sz w:val="22"/>
              </w:rPr>
              <w:t>3、★△支持对双代号网络图的工作项完整性、工作项属性、逻辑关系进行评测；</w:t>
            </w:r>
          </w:p>
          <w:p>
            <w:pPr>
              <w:rPr>
                <w:rFonts w:asciiTheme="minorEastAsia" w:hAnsiTheme="minorEastAsia" w:cstheme="minorEastAsia"/>
                <w:sz w:val="22"/>
              </w:rPr>
            </w:pPr>
            <w:r>
              <w:rPr>
                <w:rFonts w:hint="eastAsia" w:asciiTheme="minorEastAsia" w:hAnsiTheme="minorEastAsia" w:cstheme="minorEastAsia"/>
                <w:sz w:val="22"/>
              </w:rPr>
              <w:t>4、★△支持对网络图对应的资源曲线图正确性、对应横道图合理性、网络计划合理性以及网络计划的原则进行评判；</w:t>
            </w:r>
          </w:p>
          <w:p>
            <w:pPr>
              <w:rPr>
                <w:rFonts w:asciiTheme="minorEastAsia" w:hAnsiTheme="minorEastAsia" w:cstheme="minorEastAsia"/>
                <w:sz w:val="22"/>
              </w:rPr>
            </w:pPr>
            <w:r>
              <w:rPr>
                <w:rFonts w:hint="eastAsia" w:asciiTheme="minorEastAsia" w:hAnsiTheme="minorEastAsia" w:cstheme="minorEastAsia"/>
                <w:sz w:val="22"/>
              </w:rPr>
              <w:t>5、★支持导入和导出评分标准；</w:t>
            </w:r>
          </w:p>
          <w:p>
            <w:pPr>
              <w:rPr>
                <w:rFonts w:asciiTheme="minorEastAsia" w:hAnsiTheme="minorEastAsia" w:cstheme="minorEastAsia"/>
                <w:sz w:val="22"/>
              </w:rPr>
            </w:pPr>
            <w:r>
              <w:rPr>
                <w:rFonts w:hint="eastAsia" w:asciiTheme="minorEastAsia" w:hAnsiTheme="minorEastAsia" w:cstheme="minorEastAsia"/>
                <w:sz w:val="22"/>
              </w:rPr>
              <w:t>6、★支持导入同品牌项目管理文件作为评分标准；</w:t>
            </w:r>
          </w:p>
          <w:p>
            <w:pPr>
              <w:rPr>
                <w:rFonts w:asciiTheme="minorEastAsia" w:hAnsiTheme="minorEastAsia" w:cstheme="minorEastAsia"/>
                <w:sz w:val="22"/>
              </w:rPr>
            </w:pPr>
            <w:r>
              <w:rPr>
                <w:rFonts w:hint="eastAsia" w:asciiTheme="minorEastAsia" w:hAnsiTheme="minorEastAsia" w:cstheme="minorEastAsia"/>
                <w:sz w:val="22"/>
              </w:rPr>
              <w:t>7、支持按目录或工程文件导入待评分工程</w:t>
            </w:r>
          </w:p>
          <w:p>
            <w:pPr>
              <w:rPr>
                <w:rFonts w:asciiTheme="minorEastAsia" w:hAnsiTheme="minorEastAsia" w:cstheme="minorEastAsia"/>
                <w:sz w:val="22"/>
              </w:rPr>
            </w:pPr>
            <w:r>
              <w:rPr>
                <w:rFonts w:hint="eastAsia" w:asciiTheme="minorEastAsia" w:hAnsiTheme="minorEastAsia" w:cstheme="minorEastAsia"/>
                <w:sz w:val="22"/>
              </w:rPr>
              <w:t>8、支持删除待评分工程；</w:t>
            </w:r>
          </w:p>
          <w:p>
            <w:pPr>
              <w:rPr>
                <w:rFonts w:asciiTheme="minorEastAsia" w:hAnsiTheme="minorEastAsia" w:cstheme="minorEastAsia"/>
                <w:sz w:val="22"/>
              </w:rPr>
            </w:pPr>
            <w:r>
              <w:rPr>
                <w:rFonts w:hint="eastAsia" w:asciiTheme="minorEastAsia" w:hAnsiTheme="minorEastAsia" w:cstheme="minorEastAsia"/>
                <w:sz w:val="22"/>
              </w:rPr>
              <w:t>9、支持清空全部工程文件；</w:t>
            </w:r>
          </w:p>
          <w:p>
            <w:pPr>
              <w:rPr>
                <w:rFonts w:asciiTheme="minorEastAsia" w:hAnsiTheme="minorEastAsia" w:cstheme="minorEastAsia"/>
                <w:sz w:val="22"/>
              </w:rPr>
            </w:pPr>
            <w:r>
              <w:rPr>
                <w:rFonts w:hint="eastAsia" w:asciiTheme="minorEastAsia" w:hAnsiTheme="minorEastAsia" w:cstheme="minorEastAsia"/>
                <w:sz w:val="22"/>
              </w:rPr>
              <w:t>10、支持导出评分结果；</w:t>
            </w:r>
          </w:p>
          <w:p>
            <w:pPr>
              <w:widowControl/>
              <w:jc w:val="left"/>
              <w:textAlignment w:val="center"/>
              <w:rPr>
                <w:rFonts w:ascii="宋体" w:hAnsi="宋体" w:eastAsia="宋体" w:cs="宋体"/>
                <w:color w:val="000000"/>
                <w:sz w:val="22"/>
              </w:rPr>
            </w:pPr>
            <w:r>
              <w:rPr>
                <w:rFonts w:hint="eastAsia" w:asciiTheme="minorEastAsia" w:hAnsiTheme="minorEastAsia" w:cstheme="minorEastAsia"/>
                <w:sz w:val="22"/>
              </w:rPr>
              <w:t>11、支持导出评分报告。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lang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eastAsia="zh-Hans" w:bidi="ar"/>
              </w:rPr>
              <w:t>节点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Theme="minorEastAsia" w:hAnsiTheme="minorEastAsia" w:cstheme="minorEastAsia"/>
                <w:color w:val="000000"/>
                <w:kern w:val="0"/>
                <w:sz w:val="22"/>
                <w:lang w:bidi="ar"/>
              </w:rPr>
              <w:t>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Theme="minorEastAsia" w:hAnsiTheme="minorEastAsia" w:cstheme="minorEastAsia"/>
                <w:sz w:val="22"/>
              </w:rPr>
              <w:t>施工现场三维布置软件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sz w:val="22"/>
              </w:rPr>
            </w:pPr>
            <w:r>
              <w:rPr>
                <w:rFonts w:hint="eastAsia" w:asciiTheme="minorEastAsia" w:hAnsiTheme="minorEastAsia" w:cstheme="minorEastAsia"/>
                <w:color w:val="000000"/>
                <w:kern w:val="0"/>
                <w:sz w:val="22"/>
                <w:lang w:bidi="ar"/>
              </w:rPr>
              <w:t>1</w:t>
            </w:r>
            <w:r>
              <w:rPr>
                <w:rFonts w:hint="eastAsia" w:asciiTheme="minorEastAsia" w:hAnsiTheme="minorEastAsia" w:cstheme="minorEastAsia"/>
                <w:sz w:val="22"/>
                <w:lang w:eastAsia="zh-Hans"/>
              </w:rPr>
              <w:t>参</w:t>
            </w:r>
            <w:r>
              <w:rPr>
                <w:rFonts w:hint="eastAsia" w:asciiTheme="minorEastAsia" w:hAnsiTheme="minorEastAsia" w:cstheme="minorEastAsia"/>
                <w:sz w:val="22"/>
              </w:rPr>
              <w:t>考依据；</w:t>
            </w:r>
          </w:p>
          <w:p>
            <w:pPr>
              <w:rPr>
                <w:rFonts w:asciiTheme="minorEastAsia" w:hAnsiTheme="minorEastAsia" w:cstheme="minorEastAsia"/>
                <w:sz w:val="22"/>
              </w:rPr>
            </w:pPr>
            <w:r>
              <w:rPr>
                <w:rFonts w:hint="eastAsia" w:asciiTheme="minorEastAsia" w:hAnsiTheme="minorEastAsia" w:cstheme="minorEastAsia"/>
                <w:sz w:val="22"/>
              </w:rPr>
              <w:t>1.★△软件支持虚拟施工，支持建造和拆除过程动态展示；</w:t>
            </w:r>
          </w:p>
          <w:p>
            <w:pPr>
              <w:rPr>
                <w:rFonts w:asciiTheme="minorEastAsia" w:hAnsiTheme="minorEastAsia" w:cstheme="minorEastAsia"/>
                <w:sz w:val="22"/>
              </w:rPr>
            </w:pPr>
            <w:r>
              <w:rPr>
                <w:rFonts w:hint="eastAsia" w:asciiTheme="minorEastAsia" w:hAnsiTheme="minorEastAsia" w:cstheme="minorEastAsia"/>
                <w:sz w:val="22"/>
              </w:rPr>
              <w:t>2.★软件需支持自主平台开发，若依靠其他平台，务必提供同等数量节点的该平台正版软件，避免知识产权纠纷；</w:t>
            </w:r>
          </w:p>
          <w:p>
            <w:pPr>
              <w:rPr>
                <w:rFonts w:asciiTheme="minorEastAsia" w:hAnsiTheme="minorEastAsia" w:cstheme="minorEastAsia"/>
                <w:sz w:val="22"/>
              </w:rPr>
            </w:pPr>
            <w:r>
              <w:rPr>
                <w:rFonts w:hint="eastAsia" w:asciiTheme="minorEastAsia" w:hAnsiTheme="minorEastAsia" w:cstheme="minorEastAsia"/>
                <w:sz w:val="22"/>
              </w:rPr>
              <w:t>3.软件需独立支持动画录制功能，至少可支持录制关键帧动画、路线漫游两种动画；</w:t>
            </w:r>
          </w:p>
          <w:p>
            <w:pPr>
              <w:rPr>
                <w:rFonts w:asciiTheme="minorEastAsia" w:hAnsiTheme="minorEastAsia" w:cstheme="minorEastAsia"/>
                <w:sz w:val="22"/>
              </w:rPr>
            </w:pPr>
            <w:r>
              <w:rPr>
                <w:rFonts w:hint="eastAsia" w:asciiTheme="minorEastAsia" w:hAnsiTheme="minorEastAsia" w:cstheme="minorEastAsia"/>
                <w:sz w:val="22"/>
              </w:rPr>
              <w:t>4.★△软件需支持云构件库、云案例库，需支持甲方自己的案例上传；</w:t>
            </w:r>
          </w:p>
          <w:p>
            <w:pPr>
              <w:rPr>
                <w:rFonts w:asciiTheme="minorEastAsia" w:hAnsiTheme="minorEastAsia" w:cstheme="minorEastAsia"/>
                <w:sz w:val="22"/>
              </w:rPr>
            </w:pPr>
            <w:r>
              <w:rPr>
                <w:rFonts w:hint="eastAsia" w:asciiTheme="minorEastAsia" w:hAnsiTheme="minorEastAsia" w:cstheme="minorEastAsia"/>
                <w:sz w:val="22"/>
              </w:rPr>
              <w:t>5.软件中需至少含有9大类图库以及上百种3D图元可供用户使用，充分满足绘图要求；</w:t>
            </w:r>
          </w:p>
          <w:p>
            <w:pPr>
              <w:rPr>
                <w:rFonts w:asciiTheme="minorEastAsia" w:hAnsiTheme="minorEastAsia" w:cstheme="minorEastAsia"/>
                <w:sz w:val="22"/>
              </w:rPr>
            </w:pPr>
            <w:r>
              <w:rPr>
                <w:rFonts w:hint="eastAsia" w:asciiTheme="minorEastAsia" w:hAnsiTheme="minorEastAsia" w:cstheme="minorEastAsia"/>
                <w:sz w:val="22"/>
              </w:rPr>
              <w:t>6.软件需自带截图、打印功能，满足用户成果文件展示投标使用；</w:t>
            </w:r>
          </w:p>
          <w:p>
            <w:pPr>
              <w:rPr>
                <w:rFonts w:asciiTheme="minorEastAsia" w:hAnsiTheme="minorEastAsia" w:cstheme="minorEastAsia"/>
                <w:sz w:val="22"/>
              </w:rPr>
            </w:pPr>
            <w:r>
              <w:rPr>
                <w:rFonts w:hint="eastAsia" w:asciiTheme="minorEastAsia" w:hAnsiTheme="minorEastAsia" w:cstheme="minorEastAsia"/>
                <w:sz w:val="22"/>
              </w:rPr>
              <w:t xml:space="preserve">7.软件绘制时，支持网格捕捉、对象捕捉、正交模式、动态输入，保证绘图的便捷性和准确性。                         BIM施工现场布置评分软件单机版         </w:t>
            </w:r>
            <w:r>
              <w:rPr>
                <w:rFonts w:hint="eastAsia" w:asciiTheme="minorEastAsia" w:hAnsiTheme="minorEastAsia" w:cstheme="minorEastAsia"/>
                <w:sz w:val="22"/>
              </w:rPr>
              <w:br w:type="textWrapping"/>
            </w:r>
            <w:r>
              <w:rPr>
                <w:rFonts w:hint="eastAsia" w:asciiTheme="minorEastAsia" w:hAnsiTheme="minorEastAsia" w:cstheme="minorEastAsia"/>
                <w:sz w:val="22"/>
              </w:rPr>
              <w:t>1、基于自主研发平台，不以CAD为基础进行开发；</w:t>
            </w:r>
          </w:p>
          <w:p>
            <w:pPr>
              <w:rPr>
                <w:rFonts w:asciiTheme="minorEastAsia" w:hAnsiTheme="minorEastAsia" w:cstheme="minorEastAsia"/>
                <w:sz w:val="22"/>
              </w:rPr>
            </w:pPr>
            <w:r>
              <w:rPr>
                <w:rFonts w:hint="eastAsia" w:asciiTheme="minorEastAsia" w:hAnsiTheme="minorEastAsia" w:cstheme="minorEastAsia"/>
                <w:sz w:val="22"/>
              </w:rPr>
              <w:t>2、支持选择施工阶段进行评分；</w:t>
            </w:r>
          </w:p>
          <w:p>
            <w:pPr>
              <w:rPr>
                <w:rFonts w:asciiTheme="minorEastAsia" w:hAnsiTheme="minorEastAsia" w:cstheme="minorEastAsia"/>
                <w:sz w:val="22"/>
              </w:rPr>
            </w:pPr>
            <w:r>
              <w:rPr>
                <w:rFonts w:hint="eastAsia" w:asciiTheme="minorEastAsia" w:hAnsiTheme="minorEastAsia" w:cstheme="minorEastAsia"/>
                <w:sz w:val="22"/>
              </w:rPr>
              <w:t>3、★△支持导入三维场布工程文件和对应格式的评分标准；</w:t>
            </w:r>
          </w:p>
          <w:p>
            <w:pPr>
              <w:rPr>
                <w:rFonts w:asciiTheme="minorEastAsia" w:hAnsiTheme="minorEastAsia" w:cstheme="minorEastAsia"/>
                <w:sz w:val="22"/>
              </w:rPr>
            </w:pPr>
            <w:r>
              <w:rPr>
                <w:rFonts w:hint="eastAsia" w:asciiTheme="minorEastAsia" w:hAnsiTheme="minorEastAsia" w:cstheme="minorEastAsia"/>
                <w:sz w:val="22"/>
              </w:rPr>
              <w:t>4、★△支持对三维场布工程文件在合理性和完整性两个方面进行评判；</w:t>
            </w:r>
          </w:p>
          <w:p>
            <w:pPr>
              <w:rPr>
                <w:rFonts w:asciiTheme="minorEastAsia" w:hAnsiTheme="minorEastAsia" w:cstheme="minorEastAsia"/>
                <w:sz w:val="22"/>
              </w:rPr>
            </w:pPr>
            <w:r>
              <w:rPr>
                <w:rFonts w:hint="eastAsia" w:asciiTheme="minorEastAsia" w:hAnsiTheme="minorEastAsia" w:cstheme="minorEastAsia"/>
                <w:sz w:val="22"/>
              </w:rPr>
              <w:t>5、★△支持考核范围权重设置；</w:t>
            </w:r>
          </w:p>
          <w:p>
            <w:pPr>
              <w:rPr>
                <w:rFonts w:asciiTheme="minorEastAsia" w:hAnsiTheme="minorEastAsia" w:cstheme="minorEastAsia"/>
                <w:sz w:val="22"/>
              </w:rPr>
            </w:pPr>
            <w:r>
              <w:rPr>
                <w:rFonts w:hint="eastAsia" w:asciiTheme="minorEastAsia" w:hAnsiTheme="minorEastAsia" w:cstheme="minorEastAsia"/>
                <w:sz w:val="22"/>
              </w:rPr>
              <w:t>6、★△支持对拟建房屋、施工围挡属性的考核；</w:t>
            </w:r>
          </w:p>
          <w:p>
            <w:pPr>
              <w:rPr>
                <w:rFonts w:asciiTheme="minorEastAsia" w:hAnsiTheme="minorEastAsia" w:cstheme="minorEastAsia"/>
                <w:sz w:val="22"/>
              </w:rPr>
            </w:pPr>
            <w:r>
              <w:rPr>
                <w:rFonts w:hint="eastAsia" w:asciiTheme="minorEastAsia" w:hAnsiTheme="minorEastAsia" w:cstheme="minorEastAsia"/>
                <w:sz w:val="22"/>
              </w:rPr>
              <w:t>7、支持评分标准的导出；</w:t>
            </w:r>
          </w:p>
          <w:p>
            <w:pPr>
              <w:rPr>
                <w:rFonts w:asciiTheme="minorEastAsia" w:hAnsiTheme="minorEastAsia" w:cstheme="minorEastAsia"/>
                <w:sz w:val="22"/>
              </w:rPr>
            </w:pPr>
            <w:r>
              <w:rPr>
                <w:rFonts w:hint="eastAsia" w:asciiTheme="minorEastAsia" w:hAnsiTheme="minorEastAsia" w:cstheme="minorEastAsia"/>
                <w:sz w:val="22"/>
              </w:rPr>
              <w:t>8、支持按目录或工程文件导入待评分工程</w:t>
            </w:r>
          </w:p>
          <w:p>
            <w:pPr>
              <w:rPr>
                <w:rFonts w:asciiTheme="minorEastAsia" w:hAnsiTheme="minorEastAsia" w:cstheme="minorEastAsia"/>
                <w:sz w:val="22"/>
              </w:rPr>
            </w:pPr>
            <w:r>
              <w:rPr>
                <w:rFonts w:hint="eastAsia" w:asciiTheme="minorEastAsia" w:hAnsiTheme="minorEastAsia" w:cstheme="minorEastAsia"/>
                <w:sz w:val="22"/>
              </w:rPr>
              <w:t>9、支持删除待评分工程；</w:t>
            </w:r>
          </w:p>
          <w:p>
            <w:pPr>
              <w:rPr>
                <w:rFonts w:asciiTheme="minorEastAsia" w:hAnsiTheme="minorEastAsia" w:cstheme="minorEastAsia"/>
                <w:sz w:val="22"/>
              </w:rPr>
            </w:pPr>
            <w:r>
              <w:rPr>
                <w:rFonts w:hint="eastAsia" w:asciiTheme="minorEastAsia" w:hAnsiTheme="minorEastAsia" w:cstheme="minorEastAsia"/>
                <w:sz w:val="22"/>
              </w:rPr>
              <w:t>10、支持清空全部工程文件；</w:t>
            </w:r>
          </w:p>
          <w:p>
            <w:pPr>
              <w:rPr>
                <w:rFonts w:asciiTheme="minorEastAsia" w:hAnsiTheme="minorEastAsia" w:cstheme="minorEastAsia"/>
                <w:sz w:val="22"/>
              </w:rPr>
            </w:pPr>
            <w:r>
              <w:rPr>
                <w:rFonts w:hint="eastAsia" w:asciiTheme="minorEastAsia" w:hAnsiTheme="minorEastAsia" w:cstheme="minorEastAsia"/>
                <w:sz w:val="22"/>
              </w:rPr>
              <w:t>11、支持导出评分结果；</w:t>
            </w:r>
          </w:p>
          <w:p>
            <w:pPr>
              <w:widowControl/>
              <w:jc w:val="left"/>
              <w:textAlignment w:val="center"/>
              <w:rPr>
                <w:rFonts w:ascii="宋体" w:hAnsi="宋体" w:eastAsia="宋体" w:cs="宋体"/>
                <w:color w:val="000000"/>
                <w:sz w:val="22"/>
              </w:rPr>
            </w:pPr>
            <w:r>
              <w:rPr>
                <w:rFonts w:hint="eastAsia" w:asciiTheme="minorEastAsia" w:hAnsiTheme="minorEastAsia" w:cstheme="minorEastAsia"/>
                <w:sz w:val="22"/>
              </w:rPr>
              <w:t>12、支持导出评分报告。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lang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eastAsia="zh-Hans" w:bidi="ar"/>
              </w:rPr>
              <w:t>节点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Theme="minorEastAsia" w:hAnsiTheme="minorEastAsia" w:cstheme="minorEastAsia"/>
                <w:color w:val="000000"/>
                <w:kern w:val="0"/>
                <w:sz w:val="22"/>
                <w:lang w:bidi="ar"/>
              </w:rPr>
              <w:t>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Theme="minorEastAsia" w:hAnsiTheme="minorEastAsia" w:cstheme="minorEastAsia"/>
                <w:sz w:val="22"/>
              </w:rPr>
              <w:t>BIM5D软件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sz w:val="22"/>
              </w:rPr>
            </w:pPr>
            <w:r>
              <w:rPr>
                <w:rFonts w:hint="eastAsia" w:asciiTheme="minorEastAsia" w:hAnsiTheme="minorEastAsia" w:cstheme="minorEastAsia"/>
                <w:sz w:val="22"/>
              </w:rPr>
              <w:t>★1、基于自主研发平台，可以读取同一公司各专业模型，支持国际IFC标准，可以读取Autodesk Revit、Tekla、Magi CAD等国际主流模型，可一键返回建模软件，方便修改；如果基于其他平台开发，需要提供同等节点数量的正版平台软件；</w:t>
            </w:r>
          </w:p>
          <w:p>
            <w:pPr>
              <w:rPr>
                <w:rFonts w:asciiTheme="minorEastAsia" w:hAnsiTheme="minorEastAsia" w:cstheme="minorEastAsia"/>
                <w:sz w:val="22"/>
              </w:rPr>
            </w:pPr>
            <w:r>
              <w:rPr>
                <w:rFonts w:hint="eastAsia" w:asciiTheme="minorEastAsia" w:hAnsiTheme="minorEastAsia" w:cstheme="minorEastAsia"/>
                <w:sz w:val="22"/>
              </w:rPr>
              <w:t>2、可以依据施工规范及现场经验，可快速批量对整栋或整层砖墙进行排布，提前模拟出符合施工现场的砌块排布方案，生成墙体立面排布图，平面编号图图，统计出各规格砌块用量，帮助施工技术人员合理安排砌筑施工计划，指导现场施工。</w:t>
            </w:r>
          </w:p>
          <w:p>
            <w:pPr>
              <w:rPr>
                <w:rFonts w:asciiTheme="minorEastAsia" w:hAnsiTheme="minorEastAsia" w:cstheme="minorEastAsia"/>
                <w:sz w:val="22"/>
              </w:rPr>
            </w:pPr>
            <w:r>
              <w:rPr>
                <w:rFonts w:hint="eastAsia" w:asciiTheme="minorEastAsia" w:hAnsiTheme="minorEastAsia" w:cstheme="minorEastAsia"/>
                <w:sz w:val="22"/>
              </w:rPr>
              <w:t>3、通过WEB端进行企业级管理，分类展示查看安全、进度、质量、资金情况；轻量化，不用下载客户端就可以操作。</w:t>
            </w:r>
          </w:p>
          <w:p>
            <w:pPr>
              <w:rPr>
                <w:rFonts w:asciiTheme="minorEastAsia" w:hAnsiTheme="minorEastAsia" w:cstheme="minorEastAsia"/>
                <w:sz w:val="22"/>
              </w:rPr>
            </w:pPr>
            <w:r>
              <w:rPr>
                <w:rFonts w:hint="eastAsia" w:asciiTheme="minorEastAsia" w:hAnsiTheme="minorEastAsia" w:cstheme="minorEastAsia"/>
                <w:sz w:val="22"/>
              </w:rPr>
              <w:t>△4、可在窗口实时查看各个区域的人员、机械分布情况。</w:t>
            </w:r>
          </w:p>
          <w:p>
            <w:pPr>
              <w:rPr>
                <w:rFonts w:asciiTheme="minorEastAsia" w:hAnsiTheme="minorEastAsia" w:cstheme="minorEastAsia"/>
                <w:sz w:val="22"/>
              </w:rPr>
            </w:pPr>
            <w:r>
              <w:rPr>
                <w:rFonts w:hint="eastAsia" w:asciiTheme="minorEastAsia" w:hAnsiTheme="minorEastAsia" w:cstheme="minorEastAsia"/>
                <w:sz w:val="22"/>
              </w:rPr>
              <w:t>★5、提供正规出版社出版的带有ISBN即国际标准书号教材，便于实训教学使用。</w:t>
            </w:r>
          </w:p>
          <w:p>
            <w:pPr>
              <w:rPr>
                <w:rFonts w:asciiTheme="minorEastAsia" w:hAnsiTheme="minorEastAsia" w:cstheme="minorEastAsia"/>
                <w:sz w:val="22"/>
              </w:rPr>
            </w:pPr>
            <w:r>
              <w:rPr>
                <w:rFonts w:hint="eastAsia" w:asciiTheme="minorEastAsia" w:hAnsiTheme="minorEastAsia" w:cstheme="minorEastAsia"/>
                <w:sz w:val="22"/>
              </w:rPr>
              <w:t>6、可制作设备、钢结构动画模拟、工艺动画制作</w:t>
            </w:r>
          </w:p>
          <w:p>
            <w:pPr>
              <w:rPr>
                <w:rFonts w:asciiTheme="minorEastAsia" w:hAnsiTheme="minorEastAsia" w:cstheme="minorEastAsia"/>
                <w:sz w:val="22"/>
              </w:rPr>
            </w:pPr>
            <w:r>
              <w:rPr>
                <w:rFonts w:hint="eastAsia" w:asciiTheme="minorEastAsia" w:hAnsiTheme="minorEastAsia" w:cstheme="minorEastAsia"/>
                <w:sz w:val="22"/>
              </w:rPr>
              <w:t>★7、可实现多专业装配式预制构件的物料跟踪管理，生成的生产加工数据及二维码信息实现物料跟踪，可实现将装配式施工技术方案推送至具体负责人，实现施工有理有据，结合工艺工法库提升施工质量，形成生产加工-验收-安装-验收闭环，同时将构件跟踪数据同传至终端。</w:t>
            </w:r>
          </w:p>
          <w:p>
            <w:pPr>
              <w:rPr>
                <w:rFonts w:asciiTheme="minorEastAsia" w:hAnsiTheme="minorEastAsia" w:cstheme="minorEastAsia"/>
                <w:sz w:val="22"/>
              </w:rPr>
            </w:pPr>
            <w:r>
              <w:rPr>
                <w:rFonts w:hint="eastAsia" w:asciiTheme="minorEastAsia" w:hAnsiTheme="minorEastAsia" w:cstheme="minorEastAsia"/>
                <w:sz w:val="22"/>
              </w:rPr>
              <w:t>8、构件选择方式灵活多样，可通过楼层，专业构件类型，图元树三种方式配合精确选择，还可通过名称关键字搜索查找构件。</w:t>
            </w:r>
          </w:p>
          <w:p>
            <w:pPr>
              <w:rPr>
                <w:rFonts w:asciiTheme="minorEastAsia" w:hAnsiTheme="minorEastAsia" w:cstheme="minorEastAsia"/>
                <w:sz w:val="22"/>
              </w:rPr>
            </w:pPr>
            <w:r>
              <w:rPr>
                <w:rFonts w:hint="eastAsia" w:asciiTheme="minorEastAsia" w:hAnsiTheme="minorEastAsia" w:cstheme="minorEastAsia"/>
                <w:sz w:val="22"/>
              </w:rPr>
              <w:t>9、可实现在线查看项目质量安全问题统计及问题台账，同时可创建问题及设置安全巡视点等，，统计现场质量安全问题分类及问题分布情况，统计责任单位质量安全问题情况，通过柱状图及环形图的形式清晰展现问题趋势分布图。</w:t>
            </w:r>
          </w:p>
          <w:p>
            <w:pPr>
              <w:rPr>
                <w:rFonts w:asciiTheme="minorEastAsia" w:hAnsiTheme="minorEastAsia" w:cstheme="minorEastAsia"/>
                <w:sz w:val="22"/>
              </w:rPr>
            </w:pPr>
            <w:r>
              <w:rPr>
                <w:rFonts w:hint="eastAsia" w:asciiTheme="minorEastAsia" w:hAnsiTheme="minorEastAsia" w:cstheme="minorEastAsia"/>
                <w:sz w:val="22"/>
              </w:rPr>
              <w:t>10、可基于BIM模型进行主体结构施工专项方案的快速查询，指导施工专项方案的编制工作；</w:t>
            </w:r>
          </w:p>
          <w:p>
            <w:pPr>
              <w:rPr>
                <w:rFonts w:asciiTheme="minorEastAsia" w:hAnsiTheme="minorEastAsia" w:cstheme="minorEastAsia"/>
                <w:sz w:val="22"/>
              </w:rPr>
            </w:pPr>
            <w:r>
              <w:rPr>
                <w:rFonts w:hint="eastAsia" w:asciiTheme="minorEastAsia" w:hAnsiTheme="minorEastAsia" w:cstheme="minorEastAsia"/>
                <w:sz w:val="22"/>
              </w:rPr>
              <w:t>11、清单定额库全面，计价体系完善。通过计价软件基础支持，后续平台的工程量和资金曲线更加精准可靠。</w:t>
            </w:r>
          </w:p>
          <w:p>
            <w:pPr>
              <w:widowControl/>
              <w:jc w:val="left"/>
              <w:textAlignment w:val="center"/>
              <w:rPr>
                <w:rFonts w:ascii="宋体" w:hAnsi="宋体" w:eastAsia="宋体" w:cs="宋体"/>
                <w:color w:val="000000"/>
                <w:sz w:val="22"/>
              </w:rPr>
            </w:pPr>
            <w:r>
              <w:rPr>
                <w:rFonts w:hint="eastAsia" w:asciiTheme="minorEastAsia" w:hAnsiTheme="minorEastAsia" w:cstheme="minorEastAsia"/>
                <w:sz w:val="22"/>
              </w:rPr>
              <w:t>△12、可通过资金曲线、资源曲线等进行成本分析，实现包括项目资金趋势分析、材料用量趋势分析、资金对比分析、清单对比分析、清单指标分析、钢筋指标分析等多维度数据分析。</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lang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eastAsia="zh-Hans" w:bidi="ar"/>
              </w:rPr>
              <w:t>节点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lang w:bidi="ar"/>
              </w:rPr>
            </w:pPr>
            <w:r>
              <w:rPr>
                <w:rFonts w:hint="eastAsia" w:asciiTheme="minorEastAsia" w:hAnsiTheme="minorEastAsia" w:cstheme="minorEastAsia"/>
                <w:color w:val="000000"/>
                <w:kern w:val="0"/>
                <w:sz w:val="22"/>
                <w:lang w:bidi="ar"/>
              </w:rPr>
              <w:t>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Theme="minorEastAsia" w:hAnsiTheme="minorEastAsia" w:cstheme="minorEastAsia"/>
                <w:sz w:val="22"/>
              </w:rPr>
              <w:t>云计价平台软件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sz w:val="22"/>
              </w:rPr>
            </w:pPr>
            <w:r>
              <w:rPr>
                <w:rFonts w:hint="eastAsia" w:asciiTheme="minorEastAsia" w:hAnsiTheme="minorEastAsia" w:cstheme="minorEastAsia"/>
                <w:sz w:val="22"/>
              </w:rPr>
              <w:t>1、应内置当地最新行业清单、定额计算规则，第一时间响应当地行业动态；</w:t>
            </w:r>
          </w:p>
          <w:p>
            <w:pPr>
              <w:rPr>
                <w:rFonts w:asciiTheme="minorEastAsia" w:hAnsiTheme="minorEastAsia" w:cstheme="minorEastAsia"/>
                <w:sz w:val="22"/>
              </w:rPr>
            </w:pPr>
            <w:r>
              <w:rPr>
                <w:rFonts w:hint="eastAsia" w:asciiTheme="minorEastAsia" w:hAnsiTheme="minorEastAsia" w:cstheme="minorEastAsia"/>
                <w:sz w:val="22"/>
              </w:rPr>
              <w:t>2、能够进行定额计价和清单计价两种计价模式；</w:t>
            </w:r>
          </w:p>
          <w:p>
            <w:pPr>
              <w:rPr>
                <w:rFonts w:asciiTheme="minorEastAsia" w:hAnsiTheme="minorEastAsia" w:cstheme="minorEastAsia"/>
                <w:sz w:val="22"/>
              </w:rPr>
            </w:pPr>
            <w:r>
              <w:rPr>
                <w:rFonts w:hint="eastAsia" w:asciiTheme="minorEastAsia" w:hAnsiTheme="minorEastAsia" w:cstheme="minorEastAsia"/>
                <w:sz w:val="22"/>
              </w:rPr>
              <w:t>★3、能够与BIM软件实现完美对接，承接BIM成本信息，实现数据在BIM应用中直接提取应用；生成的文件可直接导入BIM5D；</w:t>
            </w:r>
          </w:p>
          <w:p>
            <w:pPr>
              <w:rPr>
                <w:rFonts w:asciiTheme="minorEastAsia" w:hAnsiTheme="minorEastAsia" w:cstheme="minorEastAsia"/>
                <w:sz w:val="22"/>
              </w:rPr>
            </w:pPr>
            <w:r>
              <w:rPr>
                <w:rFonts w:hint="eastAsia" w:asciiTheme="minorEastAsia" w:hAnsiTheme="minorEastAsia" w:cstheme="minorEastAsia"/>
                <w:sz w:val="22"/>
              </w:rPr>
              <w:t>4、生成符合接口标准的招标、招标控制价、投标电子标文件，支持各地区的电子招投标和网络评标系统；</w:t>
            </w:r>
          </w:p>
          <w:p>
            <w:pPr>
              <w:rPr>
                <w:rFonts w:asciiTheme="minorEastAsia" w:hAnsiTheme="minorEastAsia" w:cstheme="minorEastAsia"/>
                <w:sz w:val="22"/>
              </w:rPr>
            </w:pPr>
            <w:r>
              <w:rPr>
                <w:rFonts w:hint="eastAsia" w:asciiTheme="minorEastAsia" w:hAnsiTheme="minorEastAsia" w:cstheme="minorEastAsia"/>
                <w:sz w:val="22"/>
              </w:rPr>
              <w:t>5、能够插入批注功能，并且可以进行批注内容过滤；</w:t>
            </w:r>
          </w:p>
          <w:p>
            <w:pPr>
              <w:rPr>
                <w:rFonts w:asciiTheme="minorEastAsia" w:hAnsiTheme="minorEastAsia" w:cstheme="minorEastAsia"/>
                <w:sz w:val="22"/>
              </w:rPr>
            </w:pPr>
            <w:r>
              <w:rPr>
                <w:rFonts w:hint="eastAsia" w:asciiTheme="minorEastAsia" w:hAnsiTheme="minorEastAsia" w:cstheme="minorEastAsia"/>
                <w:sz w:val="22"/>
              </w:rPr>
              <w:t>6、能够导出PDF格式文件，防止修改；</w:t>
            </w:r>
          </w:p>
          <w:p>
            <w:pPr>
              <w:rPr>
                <w:rFonts w:asciiTheme="minorEastAsia" w:hAnsiTheme="minorEastAsia" w:cstheme="minorEastAsia"/>
                <w:sz w:val="22"/>
              </w:rPr>
            </w:pPr>
            <w:r>
              <w:rPr>
                <w:rFonts w:hint="eastAsia" w:asciiTheme="minorEastAsia" w:hAnsiTheme="minorEastAsia" w:cstheme="minorEastAsia"/>
                <w:sz w:val="22"/>
              </w:rPr>
              <w:t>7、针对群体项目应有快速组价的方式，将相同专业的清单项以及组价应可以统一调整；</w:t>
            </w:r>
          </w:p>
          <w:p>
            <w:pPr>
              <w:rPr>
                <w:rFonts w:asciiTheme="minorEastAsia" w:hAnsiTheme="minorEastAsia" w:cstheme="minorEastAsia"/>
                <w:sz w:val="22"/>
              </w:rPr>
            </w:pPr>
            <w:r>
              <w:rPr>
                <w:rFonts w:hint="eastAsia" w:asciiTheme="minorEastAsia" w:hAnsiTheme="minorEastAsia" w:cstheme="minorEastAsia"/>
                <w:sz w:val="22"/>
              </w:rPr>
              <w:t>8、应涵盖云、大数据的行业应用；</w:t>
            </w:r>
          </w:p>
          <w:p>
            <w:pPr>
              <w:rPr>
                <w:rFonts w:asciiTheme="minorEastAsia" w:hAnsiTheme="minorEastAsia" w:cstheme="minorEastAsia"/>
                <w:sz w:val="22"/>
              </w:rPr>
            </w:pPr>
            <w:r>
              <w:rPr>
                <w:rFonts w:hint="eastAsia" w:asciiTheme="minorEastAsia" w:hAnsiTheme="minorEastAsia" w:cstheme="minorEastAsia"/>
                <w:sz w:val="22"/>
              </w:rPr>
              <w:t>★9、应提供统一入口，处理计价全过程业务，包括概算、预算、结算、审核；</w:t>
            </w:r>
          </w:p>
          <w:p>
            <w:pPr>
              <w:rPr>
                <w:rFonts w:asciiTheme="minorEastAsia" w:hAnsiTheme="minorEastAsia" w:cstheme="minorEastAsia"/>
                <w:sz w:val="22"/>
              </w:rPr>
            </w:pPr>
            <w:r>
              <w:rPr>
                <w:rFonts w:hint="eastAsia" w:asciiTheme="minorEastAsia" w:hAnsiTheme="minorEastAsia" w:cstheme="minorEastAsia"/>
                <w:sz w:val="22"/>
              </w:rPr>
              <w:t>10、项目、单项、单位应可查看对应造价分析数据，项目、单项、单位工程可以直接编辑；</w:t>
            </w:r>
          </w:p>
          <w:p>
            <w:pPr>
              <w:rPr>
                <w:rFonts w:asciiTheme="minorEastAsia" w:hAnsiTheme="minorEastAsia" w:cstheme="minorEastAsia"/>
                <w:sz w:val="22"/>
              </w:rPr>
            </w:pPr>
            <w:r>
              <w:rPr>
                <w:rFonts w:hint="eastAsia" w:asciiTheme="minorEastAsia" w:hAnsiTheme="minorEastAsia" w:cstheme="minorEastAsia"/>
                <w:sz w:val="22"/>
              </w:rPr>
              <w:t>11、可以按照工程和专业两个维度，输出主要经济指标、主要工程量指标、主要工料指标；</w:t>
            </w:r>
          </w:p>
          <w:p>
            <w:pPr>
              <w:rPr>
                <w:rFonts w:asciiTheme="minorEastAsia" w:hAnsiTheme="minorEastAsia" w:cstheme="minorEastAsia"/>
                <w:sz w:val="22"/>
              </w:rPr>
            </w:pPr>
            <w:r>
              <w:rPr>
                <w:rFonts w:hint="eastAsia" w:asciiTheme="minorEastAsia" w:hAnsiTheme="minorEastAsia" w:cstheme="minorEastAsia"/>
                <w:sz w:val="22"/>
              </w:rPr>
              <w:t>12、应可查询各地区计价规则以及政策；</w:t>
            </w:r>
          </w:p>
          <w:p>
            <w:pPr>
              <w:rPr>
                <w:rFonts w:asciiTheme="minorEastAsia" w:hAnsiTheme="minorEastAsia" w:cstheme="minorEastAsia"/>
                <w:sz w:val="22"/>
              </w:rPr>
            </w:pPr>
            <w:r>
              <w:rPr>
                <w:rFonts w:hint="eastAsia" w:asciiTheme="minorEastAsia" w:hAnsiTheme="minorEastAsia" w:cstheme="minorEastAsia"/>
                <w:sz w:val="22"/>
              </w:rPr>
              <w:t>★13、须配套云计价评分软件单机锁一节点，具体功能如下：</w:t>
            </w:r>
          </w:p>
          <w:p>
            <w:pPr>
              <w:rPr>
                <w:rFonts w:asciiTheme="minorEastAsia" w:hAnsiTheme="minorEastAsia" w:cstheme="minorEastAsia"/>
                <w:sz w:val="22"/>
              </w:rPr>
            </w:pPr>
            <w:r>
              <w:rPr>
                <w:rFonts w:hint="eastAsia" w:asciiTheme="minorEastAsia" w:hAnsiTheme="minorEastAsia" w:cstheme="minorEastAsia"/>
                <w:sz w:val="22"/>
              </w:rPr>
              <w:t>（1）自主的计算平台进行的开发；</w:t>
            </w:r>
          </w:p>
          <w:p>
            <w:pPr>
              <w:rPr>
                <w:rFonts w:asciiTheme="minorEastAsia" w:hAnsiTheme="minorEastAsia" w:cstheme="minorEastAsia"/>
                <w:sz w:val="22"/>
              </w:rPr>
            </w:pPr>
            <w:r>
              <w:rPr>
                <w:rFonts w:hint="eastAsia" w:asciiTheme="minorEastAsia" w:hAnsiTheme="minorEastAsia" w:cstheme="minorEastAsia"/>
                <w:sz w:val="22"/>
              </w:rPr>
              <w:t>（2）能一键式评分；</w:t>
            </w:r>
          </w:p>
          <w:p>
            <w:pPr>
              <w:rPr>
                <w:rFonts w:asciiTheme="minorEastAsia" w:hAnsiTheme="minorEastAsia" w:cstheme="minorEastAsia"/>
                <w:sz w:val="22"/>
              </w:rPr>
            </w:pPr>
            <w:r>
              <w:rPr>
                <w:rFonts w:hint="eastAsia" w:asciiTheme="minorEastAsia" w:hAnsiTheme="minorEastAsia" w:cstheme="minorEastAsia"/>
                <w:sz w:val="22"/>
              </w:rPr>
              <w:t>（3）要与课程进行配套，对课程中各阶段的案例工程进行打分，知晓学生学习成果，快速准确；</w:t>
            </w:r>
          </w:p>
          <w:p>
            <w:pPr>
              <w:widowControl/>
              <w:jc w:val="left"/>
              <w:textAlignment w:val="center"/>
              <w:rPr>
                <w:rFonts w:ascii="宋体" w:hAnsi="宋体" w:eastAsia="宋体" w:cs="宋体"/>
                <w:color w:val="000000"/>
                <w:sz w:val="22"/>
              </w:rPr>
            </w:pPr>
            <w:r>
              <w:rPr>
                <w:rFonts w:hint="eastAsia" w:asciiTheme="minorEastAsia" w:hAnsiTheme="minorEastAsia" w:cstheme="minorEastAsia"/>
                <w:sz w:val="22"/>
              </w:rPr>
              <w:t>（4）能够自行设置每个清单项的分数，包括可自行设置总分；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lang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eastAsia="zh-Hans" w:bidi="ar"/>
              </w:rPr>
              <w:t>节点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lang w:bidi="ar"/>
              </w:rPr>
            </w:pPr>
            <w:r>
              <w:rPr>
                <w:rFonts w:hint="eastAsia" w:asciiTheme="minorEastAsia" w:hAnsiTheme="minorEastAsia" w:cstheme="minorEastAsia"/>
                <w:color w:val="000000"/>
                <w:kern w:val="0"/>
                <w:sz w:val="22"/>
                <w:lang w:bidi="ar"/>
              </w:rPr>
              <w:t>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sz w:val="22"/>
              </w:rPr>
            </w:pPr>
            <w:r>
              <w:rPr>
                <w:rFonts w:hint="eastAsia" w:asciiTheme="minorEastAsia" w:hAnsiTheme="minorEastAsia" w:cstheme="minorEastAsia"/>
                <w:sz w:val="22"/>
              </w:rPr>
              <w:t>BIM安装算量</w:t>
            </w:r>
          </w:p>
          <w:p>
            <w:pPr>
              <w:widowControl/>
              <w:jc w:val="left"/>
              <w:textAlignment w:val="center"/>
              <w:rPr>
                <w:rFonts w:ascii="宋体" w:hAnsi="宋体" w:eastAsia="宋体" w:cs="宋体"/>
                <w:color w:val="000000"/>
                <w:kern w:val="0"/>
                <w:sz w:val="22"/>
                <w:lang w:bidi="ar"/>
              </w:rPr>
            </w:pPr>
            <w:r>
              <w:rPr>
                <w:rFonts w:hint="eastAsia" w:asciiTheme="minorEastAsia" w:hAnsiTheme="minorEastAsia" w:cstheme="minorEastAsia"/>
                <w:sz w:val="22"/>
              </w:rPr>
              <w:t>GQI2021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sz w:val="22"/>
              </w:rPr>
            </w:pPr>
            <w:r>
              <w:rPr>
                <w:rFonts w:hint="eastAsia" w:asciiTheme="minorEastAsia" w:hAnsiTheme="minorEastAsia" w:cstheme="minorEastAsia"/>
                <w:sz w:val="22"/>
              </w:rPr>
              <w:t>1、广联达BIM安装计量软件在全楼层、全分层及区域三维不同的查看模式，并且设备以体呈现，与设备相连立管自动生成；</w:t>
            </w:r>
          </w:p>
          <w:p>
            <w:pPr>
              <w:rPr>
                <w:rFonts w:asciiTheme="minorEastAsia" w:hAnsiTheme="minorEastAsia" w:cstheme="minorEastAsia"/>
                <w:sz w:val="22"/>
              </w:rPr>
            </w:pPr>
            <w:r>
              <w:rPr>
                <w:rFonts w:hint="eastAsia" w:asciiTheme="minorEastAsia" w:hAnsiTheme="minorEastAsia" w:cstheme="minorEastAsia"/>
                <w:sz w:val="22"/>
              </w:rPr>
              <w:t>2、广联达BIM安装计量软件采用自主开发平台，在不打开其他软件，且不安装CAD类软件的情况下将图纸导入软件正常使用；</w:t>
            </w:r>
          </w:p>
          <w:p>
            <w:pPr>
              <w:rPr>
                <w:rFonts w:asciiTheme="minorEastAsia" w:hAnsiTheme="minorEastAsia" w:cstheme="minorEastAsia"/>
                <w:sz w:val="22"/>
              </w:rPr>
            </w:pPr>
            <w:r>
              <w:rPr>
                <w:rFonts w:hint="eastAsia" w:asciiTheme="minorEastAsia" w:hAnsiTheme="minorEastAsia" w:cstheme="minorEastAsia"/>
                <w:sz w:val="22"/>
              </w:rPr>
              <w:t>3、广联达BIM安装计量软件具有多维度检查工程量，漏量检查、漏项检查、碰撞检查、属性检查、设计规范检查多种检查功能；软碰撞、硬碰撞与参与碰撞的管道的最小管径，可通过碰撞检查定位到碰撞位置在纸质图纸上准确找到。</w:t>
            </w:r>
          </w:p>
          <w:p>
            <w:pPr>
              <w:rPr>
                <w:rFonts w:asciiTheme="minorEastAsia" w:hAnsiTheme="minorEastAsia" w:cstheme="minorEastAsia"/>
                <w:sz w:val="22"/>
              </w:rPr>
            </w:pPr>
            <w:r>
              <w:rPr>
                <w:rFonts w:hint="eastAsia" w:asciiTheme="minorEastAsia" w:hAnsiTheme="minorEastAsia" w:cstheme="minorEastAsia"/>
                <w:sz w:val="22"/>
              </w:rPr>
              <w:t>4、兼容市场上多种电子版图纸，包括CAD、PDF、图片等，REVIT、MagiCAD通过导出GFC格式文件可直接导入BIM安装计量软件中；</w:t>
            </w:r>
          </w:p>
          <w:p>
            <w:pPr>
              <w:rPr>
                <w:rFonts w:asciiTheme="minorEastAsia" w:hAnsiTheme="minorEastAsia" w:cstheme="minorEastAsia"/>
                <w:sz w:val="22"/>
              </w:rPr>
            </w:pPr>
            <w:r>
              <w:rPr>
                <w:rFonts w:hint="eastAsia" w:asciiTheme="minorEastAsia" w:hAnsiTheme="minorEastAsia" w:cstheme="minorEastAsia"/>
                <w:sz w:val="22"/>
              </w:rPr>
              <w:t>5、一键式导入、一键式套取，也可以手动添加到对应的工程量下；复用个人或者企业已有Excel套项模板文件，快速完成工程量下套取清单，提升工作效率；软件提供了外部清单与图元工程量的量差对比表，方便快速定位需要核查的工程量。</w:t>
            </w:r>
          </w:p>
          <w:p>
            <w:pPr>
              <w:rPr>
                <w:rFonts w:asciiTheme="minorEastAsia" w:hAnsiTheme="minorEastAsia" w:cstheme="minorEastAsia"/>
                <w:sz w:val="22"/>
              </w:rPr>
            </w:pPr>
            <w:r>
              <w:rPr>
                <w:rFonts w:hint="eastAsia" w:asciiTheme="minorEastAsia" w:hAnsiTheme="minorEastAsia" w:cstheme="minorEastAsia"/>
                <w:sz w:val="22"/>
              </w:rPr>
              <w:t>6、符合手 算的计算场景（列项、列式、计算），工程量结果直观；提取的工程量当进行核查时可以和工程量标记实时交互反查；</w:t>
            </w:r>
          </w:p>
          <w:p>
            <w:pPr>
              <w:rPr>
                <w:rFonts w:asciiTheme="minorEastAsia" w:hAnsiTheme="minorEastAsia" w:cstheme="minorEastAsia"/>
                <w:sz w:val="22"/>
              </w:rPr>
            </w:pPr>
            <w:r>
              <w:rPr>
                <w:rFonts w:hint="eastAsia" w:asciiTheme="minorEastAsia" w:hAnsiTheme="minorEastAsia" w:cstheme="minorEastAsia"/>
                <w:sz w:val="22"/>
              </w:rPr>
              <w:t>7、能够对各专业个数一键识别，电气管线多回路识别、给排水管道自动识别、通风管道按系统编号识别、喷淋管道按喷头个数识别等智能化识别方式；</w:t>
            </w:r>
          </w:p>
          <w:p>
            <w:pPr>
              <w:rPr>
                <w:rFonts w:asciiTheme="minorEastAsia" w:hAnsiTheme="minorEastAsia" w:cstheme="minorEastAsia"/>
                <w:sz w:val="22"/>
              </w:rPr>
            </w:pPr>
            <w:r>
              <w:rPr>
                <w:rFonts w:hint="eastAsia" w:asciiTheme="minorEastAsia" w:hAnsiTheme="minorEastAsia" w:cstheme="minorEastAsia"/>
                <w:sz w:val="22"/>
              </w:rPr>
              <w:t>8、能够在电气专业中可分楼层分区域进行不同灯具、不同插座、不同开关、不同设备、不同配电箱等数个数的工程量的统计；</w:t>
            </w:r>
          </w:p>
          <w:p>
            <w:pPr>
              <w:rPr>
                <w:rFonts w:asciiTheme="minorEastAsia" w:hAnsiTheme="minorEastAsia" w:cstheme="minorEastAsia"/>
                <w:sz w:val="22"/>
              </w:rPr>
            </w:pPr>
            <w:r>
              <w:rPr>
                <w:rFonts w:hint="eastAsia" w:asciiTheme="minorEastAsia" w:hAnsiTheme="minorEastAsia" w:cstheme="minorEastAsia"/>
                <w:sz w:val="22"/>
              </w:rPr>
              <w:t>9、拥有三维实体模型显示，能够做到全构件显示，比如线缆、保温、卡箍等都可以显示为实体；</w:t>
            </w:r>
          </w:p>
          <w:p>
            <w:pPr>
              <w:rPr>
                <w:rFonts w:asciiTheme="minorEastAsia" w:hAnsiTheme="minorEastAsia" w:cstheme="minorEastAsia"/>
                <w:sz w:val="22"/>
              </w:rPr>
            </w:pPr>
            <w:r>
              <w:rPr>
                <w:rFonts w:hint="eastAsia" w:asciiTheme="minorEastAsia" w:hAnsiTheme="minorEastAsia" w:cstheme="minorEastAsia"/>
                <w:sz w:val="22"/>
              </w:rPr>
              <w:t>10、能够在给排水专业中计算卫生设备数量，也可设定指定楼层或者指定区域就行工程量的计算及统计；</w:t>
            </w:r>
          </w:p>
          <w:p>
            <w:pPr>
              <w:rPr>
                <w:rFonts w:asciiTheme="minorEastAsia" w:hAnsiTheme="minorEastAsia" w:cstheme="minorEastAsia"/>
                <w:sz w:val="22"/>
              </w:rPr>
            </w:pPr>
            <w:r>
              <w:rPr>
                <w:rFonts w:hint="eastAsia" w:asciiTheme="minorEastAsia" w:hAnsiTheme="minorEastAsia" w:cstheme="minorEastAsia"/>
                <w:sz w:val="22"/>
              </w:rPr>
              <w:t>11、能够在通风空调专业中，通风口的设置不同，类别不同，均可进行区别统计工程量；</w:t>
            </w:r>
          </w:p>
          <w:p>
            <w:pPr>
              <w:rPr>
                <w:rFonts w:asciiTheme="minorEastAsia" w:hAnsiTheme="minorEastAsia" w:cstheme="minorEastAsia"/>
                <w:sz w:val="22"/>
              </w:rPr>
            </w:pPr>
            <w:r>
              <w:rPr>
                <w:rFonts w:hint="eastAsia" w:asciiTheme="minorEastAsia" w:hAnsiTheme="minorEastAsia" w:cstheme="minorEastAsia"/>
                <w:sz w:val="22"/>
              </w:rPr>
              <w:t>12、能够引入云储存和云输入功能，方便构件重复利用和多方协同工作；</w:t>
            </w:r>
          </w:p>
          <w:p>
            <w:pPr>
              <w:rPr>
                <w:rFonts w:asciiTheme="minorEastAsia" w:hAnsiTheme="minorEastAsia" w:cstheme="minorEastAsia"/>
                <w:sz w:val="22"/>
              </w:rPr>
            </w:pPr>
            <w:r>
              <w:rPr>
                <w:rFonts w:hint="eastAsia" w:asciiTheme="minorEastAsia" w:hAnsiTheme="minorEastAsia" w:cstheme="minorEastAsia"/>
                <w:sz w:val="22"/>
              </w:rPr>
              <w:t>13、支持工程分开算量或者统一工程不同专业分开算量的情况，通过模型合并，可以将多个工程模型进行合并，并且支持局部合并；</w:t>
            </w:r>
          </w:p>
          <w:p>
            <w:pPr>
              <w:rPr>
                <w:rFonts w:asciiTheme="minorEastAsia" w:hAnsiTheme="minorEastAsia" w:cstheme="minorEastAsia"/>
                <w:sz w:val="22"/>
              </w:rPr>
            </w:pPr>
            <w:r>
              <w:rPr>
                <w:rFonts w:hint="eastAsia" w:asciiTheme="minorEastAsia" w:hAnsiTheme="minorEastAsia" w:cstheme="minorEastAsia"/>
                <w:sz w:val="22"/>
              </w:rPr>
              <w:t>14、能够按照新规范进行风管厚度的工程量计算；按照新规范进行消防专业沟槽连接的管道机械三四通工程量的计算。</w:t>
            </w:r>
          </w:p>
          <w:p>
            <w:pPr>
              <w:widowControl/>
              <w:jc w:val="left"/>
              <w:textAlignment w:val="center"/>
              <w:rPr>
                <w:rFonts w:ascii="宋体" w:hAnsi="宋体" w:eastAsia="宋体" w:cs="宋体"/>
                <w:color w:val="000000"/>
                <w:kern w:val="0"/>
                <w:sz w:val="22"/>
                <w:lang w:bidi="ar"/>
              </w:rPr>
            </w:pPr>
            <w:r>
              <w:rPr>
                <w:rFonts w:hint="eastAsia" w:asciiTheme="minorEastAsia" w:hAnsiTheme="minorEastAsia" w:cstheme="minorEastAsia"/>
                <w:sz w:val="22"/>
              </w:rPr>
              <w:t>15、提供正规出版社出版的教材，并提供全套教学资料包：教学指南、教学PPT、教学视频、阶段案例工程、参考答案、评分标准、手算答案、电子图纸等；</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eastAsia="zh-Hans" w:bidi="ar"/>
              </w:rPr>
              <w:t>节点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bl>
    <w:p>
      <w:pPr>
        <w:numPr>
          <w:ilvl w:val="255"/>
          <w:numId w:val="0"/>
        </w:numPr>
        <w:spacing w:line="440" w:lineRule="exact"/>
        <w:ind w:firstLine="562" w:firstLineChars="200"/>
        <w:rPr>
          <w:sz w:val="28"/>
          <w:szCs w:val="28"/>
        </w:rPr>
      </w:pPr>
      <w:r>
        <w:rPr>
          <w:rFonts w:hint="eastAsia" w:ascii="宋体" w:hAnsi="宋体"/>
          <w:b/>
          <w:sz w:val="28"/>
          <w:szCs w:val="28"/>
        </w:rPr>
        <w:t>第二条　服务地址、期限及付款方式</w:t>
      </w:r>
    </w:p>
    <w:p>
      <w:pPr>
        <w:snapToGrid w:val="0"/>
        <w:spacing w:line="400" w:lineRule="exact"/>
        <w:ind w:firstLine="560" w:firstLineChars="200"/>
        <w:rPr>
          <w:rFonts w:ascii="宋体" w:hAnsi="宋体"/>
          <w:sz w:val="28"/>
          <w:szCs w:val="28"/>
        </w:rPr>
      </w:pPr>
      <w:r>
        <w:rPr>
          <w:rFonts w:hint="eastAsia" w:ascii="宋体" w:hAnsi="宋体"/>
          <w:sz w:val="28"/>
          <w:szCs w:val="28"/>
        </w:rPr>
        <w:t>1、服务地点：昆仑校区（南宁市昆仑大道1258号）</w:t>
      </w:r>
    </w:p>
    <w:p>
      <w:pPr>
        <w:snapToGrid w:val="0"/>
        <w:spacing w:line="400" w:lineRule="exact"/>
        <w:ind w:firstLine="560" w:firstLineChars="200"/>
        <w:rPr>
          <w:rFonts w:ascii="仿宋" w:hAnsi="仿宋" w:eastAsia="仿宋"/>
          <w:sz w:val="32"/>
          <w:szCs w:val="32"/>
        </w:rPr>
      </w:pPr>
      <w:r>
        <w:rPr>
          <w:rFonts w:hint="eastAsia" w:ascii="宋体" w:hAnsi="宋体"/>
          <w:sz w:val="28"/>
          <w:szCs w:val="28"/>
        </w:rPr>
        <w:t>2、服务期限：</w:t>
      </w:r>
      <w:r>
        <w:rPr>
          <w:rFonts w:hint="eastAsia" w:ascii="仿宋" w:hAnsi="仿宋" w:eastAsia="仿宋"/>
          <w:sz w:val="32"/>
          <w:szCs w:val="32"/>
        </w:rPr>
        <w:t>签订合同后，15个工作日内完成</w:t>
      </w:r>
    </w:p>
    <w:p>
      <w:pPr>
        <w:snapToGrid w:val="0"/>
        <w:spacing w:line="400" w:lineRule="exact"/>
        <w:ind w:firstLine="640" w:firstLineChars="200"/>
      </w:pPr>
      <w:r>
        <w:rPr>
          <w:rFonts w:hint="eastAsia" w:ascii="仿宋" w:hAnsi="仿宋" w:eastAsia="仿宋"/>
          <w:sz w:val="32"/>
          <w:szCs w:val="32"/>
        </w:rPr>
        <w:t>3、</w:t>
      </w:r>
      <w:r>
        <w:rPr>
          <w:rFonts w:hint="eastAsia" w:ascii="宋体" w:hAnsi="宋体"/>
          <w:sz w:val="28"/>
          <w:szCs w:val="28"/>
        </w:rPr>
        <w:t>付款方式：本项目无预付款，服务完成并经采购方验收合格，之后15个工作日内一次支付，由中标供货商提供正式发票后，款项以转账方式付清。</w:t>
      </w:r>
    </w:p>
    <w:p>
      <w:pPr>
        <w:snapToGrid w:val="0"/>
        <w:spacing w:before="0" w:after="0" w:line="400" w:lineRule="exact"/>
        <w:ind w:firstLine="562" w:firstLineChars="200"/>
        <w:rPr>
          <w:rFonts w:ascii="宋体" w:hAnsi="宋体"/>
          <w:sz w:val="28"/>
          <w:szCs w:val="28"/>
        </w:rPr>
      </w:pPr>
      <w:r>
        <w:rPr>
          <w:rFonts w:hint="eastAsia" w:ascii="宋体" w:hAnsi="宋体"/>
          <w:b/>
          <w:sz w:val="28"/>
          <w:szCs w:val="28"/>
        </w:rPr>
        <w:t>第三条</w:t>
      </w:r>
      <w:r>
        <w:rPr>
          <w:rFonts w:ascii="宋体" w:hAnsi="宋体"/>
          <w:b/>
          <w:sz w:val="28"/>
          <w:szCs w:val="28"/>
        </w:rPr>
        <w:t xml:space="preserve"> </w:t>
      </w:r>
      <w:r>
        <w:rPr>
          <w:rFonts w:hint="eastAsia" w:ascii="宋体" w:hAnsi="宋体" w:eastAsiaTheme="minorEastAsia"/>
          <w:b/>
          <w:sz w:val="28"/>
          <w:szCs w:val="28"/>
        </w:rPr>
        <w:t>验收：</w:t>
      </w:r>
      <w:r>
        <w:rPr>
          <w:rFonts w:hint="eastAsia" w:ascii="宋体" w:hAnsi="宋体" w:eastAsiaTheme="minorEastAsia"/>
          <w:sz w:val="28"/>
          <w:szCs w:val="28"/>
        </w:rPr>
        <w:t>（</w:t>
      </w:r>
      <w:r>
        <w:rPr>
          <w:rFonts w:ascii="宋体" w:hAnsi="宋体" w:eastAsiaTheme="minorEastAsia"/>
          <w:sz w:val="28"/>
          <w:szCs w:val="28"/>
        </w:rPr>
        <w:t>1）</w:t>
      </w:r>
      <w:r>
        <w:rPr>
          <w:rFonts w:hint="eastAsia" w:ascii="宋体" w:hAnsi="宋体"/>
          <w:sz w:val="28"/>
          <w:szCs w:val="28"/>
        </w:rPr>
        <w:t>乙方应在合同生效后【</w:t>
      </w:r>
      <w:r>
        <w:rPr>
          <w:rFonts w:ascii="宋体" w:hAnsi="宋体"/>
          <w:sz w:val="28"/>
          <w:szCs w:val="28"/>
        </w:rPr>
        <w:t>10</w:t>
      </w:r>
      <w:r>
        <w:rPr>
          <w:rFonts w:hint="eastAsia" w:ascii="宋体" w:hAnsi="宋体"/>
          <w:sz w:val="28"/>
          <w:szCs w:val="28"/>
        </w:rPr>
        <w:t>】个工作日内将产品交付至甲方验收小组并进行安装调试；甲方验收小组在产品交付完成后【</w:t>
      </w:r>
      <w:r>
        <w:rPr>
          <w:rFonts w:ascii="宋体" w:hAnsi="宋体"/>
          <w:sz w:val="28"/>
          <w:szCs w:val="28"/>
        </w:rPr>
        <w:t>5</w:t>
      </w:r>
      <w:r>
        <w:rPr>
          <w:rFonts w:hint="eastAsia" w:ascii="宋体" w:hAnsi="宋体"/>
          <w:sz w:val="28"/>
          <w:szCs w:val="28"/>
        </w:rPr>
        <w:t>】个工作日内确认可否正常使用，并签署相应的验收单或验收报告，</w:t>
      </w:r>
      <w:r>
        <w:rPr>
          <w:rFonts w:ascii="宋体" w:hAnsi="宋体"/>
          <w:sz w:val="28"/>
          <w:szCs w:val="28"/>
        </w:rPr>
        <w:t>签署</w:t>
      </w:r>
      <w:r>
        <w:rPr>
          <w:rFonts w:hint="eastAsia" w:ascii="宋体" w:hAnsi="宋体"/>
          <w:sz w:val="28"/>
          <w:szCs w:val="28"/>
        </w:rPr>
        <w:t>之日起即视为验收合格。超过该期限，视为乙方提供的产品验收合格且符合合同约定。</w:t>
      </w:r>
    </w:p>
    <w:p>
      <w:pPr>
        <w:snapToGrid w:val="0"/>
        <w:spacing w:before="0" w:after="0" w:line="400" w:lineRule="exact"/>
        <w:ind w:firstLine="560" w:firstLineChars="200"/>
        <w:rPr>
          <w:rFonts w:ascii="宋体" w:hAns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如甲方指定验收人变更，应提前</w:t>
      </w:r>
      <w:r>
        <w:rPr>
          <w:rFonts w:ascii="宋体" w:hAnsi="宋体"/>
          <w:sz w:val="28"/>
          <w:szCs w:val="28"/>
        </w:rPr>
        <w:t>3日以书面形式通知乙方，如未通知，视为未发生变更。</w:t>
      </w:r>
    </w:p>
    <w:p>
      <w:pPr>
        <w:spacing w:before="50" w:after="50" w:line="400" w:lineRule="exact"/>
        <w:rPr>
          <w:rFonts w:ascii="宋体" w:hAnsi="宋体"/>
          <w:b/>
          <w:szCs w:val="21"/>
        </w:rPr>
      </w:pPr>
      <w:r>
        <w:rPr>
          <w:rFonts w:hint="eastAsia" w:ascii="宋体" w:hAnsi="宋体"/>
          <w:b/>
          <w:sz w:val="28"/>
          <w:szCs w:val="28"/>
        </w:rPr>
        <w:t>第四条</w:t>
      </w:r>
      <w:r>
        <w:rPr>
          <w:rFonts w:hint="eastAsia" w:ascii="宋体" w:hAnsi="宋体"/>
          <w:b/>
          <w:sz w:val="28"/>
          <w:szCs w:val="28"/>
          <w:lang w:val="en-US" w:eastAsia="zh-CN"/>
        </w:rPr>
        <w:t xml:space="preserve"> </w:t>
      </w:r>
      <w:r>
        <w:rPr>
          <w:rFonts w:hint="eastAsia" w:ascii="宋体" w:hAnsi="宋体" w:eastAsiaTheme="minorEastAsia"/>
          <w:b/>
          <w:sz w:val="28"/>
          <w:szCs w:val="28"/>
        </w:rPr>
        <w:t>产品服务条款</w:t>
      </w:r>
    </w:p>
    <w:p>
      <w:pPr>
        <w:snapToGrid w:val="0"/>
        <w:spacing w:line="40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软件</w:t>
      </w:r>
      <w:r>
        <w:rPr>
          <w:rFonts w:ascii="宋体" w:hAnsi="宋体"/>
          <w:sz w:val="28"/>
          <w:szCs w:val="28"/>
        </w:rPr>
        <w:t>产品</w:t>
      </w:r>
      <w:r>
        <w:rPr>
          <w:rFonts w:hint="eastAsia" w:ascii="宋体" w:hAnsi="宋体"/>
          <w:sz w:val="28"/>
          <w:szCs w:val="28"/>
        </w:rPr>
        <w:t>升级：是指乙方对其软件产品在原版本基础上做出重大改进，使其功能加强或运行速度加快，并由乙方正式发布该软件版本；自本合同签订之日起【3】年内, 针对广联达</w:t>
      </w:r>
      <w:r>
        <w:rPr>
          <w:rFonts w:ascii="宋体" w:hAnsi="宋体"/>
          <w:sz w:val="28"/>
          <w:szCs w:val="28"/>
        </w:rPr>
        <w:t>自有软件产品，</w:t>
      </w:r>
      <w:r>
        <w:rPr>
          <w:rFonts w:hint="eastAsia" w:ascii="宋体" w:hAnsi="宋体"/>
          <w:sz w:val="28"/>
          <w:szCs w:val="28"/>
        </w:rPr>
        <w:t>乙方向甲方提供不收费的软件升级服务。</w:t>
      </w:r>
    </w:p>
    <w:p>
      <w:pPr>
        <w:snapToGrid w:val="0"/>
        <w:spacing w:line="40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甲方在使用本合同项下软件的过程中，如遇到使用问题，乙方可提供终身技术咨询服务。</w:t>
      </w:r>
    </w:p>
    <w:p>
      <w:pPr>
        <w:snapToGrid w:val="0"/>
        <w:spacing w:line="40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本合同项下硬件产品的质保期为自该产品验收合格之日起【1】年。质保期内，如产品发生质量问题，乙方为甲方提供修理、更换服务，并承担因修理、更换而产生的费用。人为或不可抗力致损的，不在质保范围。</w:t>
      </w:r>
    </w:p>
    <w:p>
      <w:pPr>
        <w:snapToGrid w:val="0"/>
        <w:spacing w:line="400" w:lineRule="exact"/>
        <w:ind w:left="-61" w:firstLine="514"/>
        <w:rPr>
          <w:rFonts w:ascii="宋体" w:hAnsi="宋体"/>
          <w:b/>
          <w:sz w:val="28"/>
          <w:szCs w:val="28"/>
        </w:rPr>
      </w:pPr>
      <w:r>
        <w:rPr>
          <w:rFonts w:hint="eastAsia" w:ascii="宋体" w:hAnsi="宋体"/>
          <w:b/>
          <w:sz w:val="28"/>
          <w:szCs w:val="28"/>
        </w:rPr>
        <w:t>第五条  税费</w:t>
      </w:r>
    </w:p>
    <w:p>
      <w:pPr>
        <w:snapToGrid w:val="0"/>
        <w:spacing w:line="400" w:lineRule="exact"/>
        <w:ind w:left="-61" w:firstLine="514"/>
        <w:rPr>
          <w:rFonts w:ascii="宋体" w:hAnsi="宋体"/>
          <w:sz w:val="28"/>
          <w:szCs w:val="28"/>
        </w:rPr>
      </w:pPr>
      <w:r>
        <w:rPr>
          <w:rFonts w:hint="eastAsia" w:ascii="宋体" w:hAnsi="宋体"/>
          <w:sz w:val="28"/>
          <w:szCs w:val="28"/>
        </w:rPr>
        <w:t>本合同执行中相关的一切税费均由乙方负担。</w:t>
      </w:r>
    </w:p>
    <w:p>
      <w:pPr>
        <w:snapToGrid w:val="0"/>
        <w:spacing w:line="400" w:lineRule="exact"/>
        <w:ind w:firstLine="562" w:firstLineChars="200"/>
        <w:rPr>
          <w:rFonts w:ascii="宋体" w:hAnsi="宋体"/>
          <w:b/>
          <w:sz w:val="28"/>
          <w:szCs w:val="28"/>
        </w:rPr>
      </w:pPr>
      <w:r>
        <w:rPr>
          <w:rFonts w:hint="eastAsia" w:ascii="宋体" w:hAnsi="宋体"/>
          <w:b/>
          <w:sz w:val="28"/>
          <w:szCs w:val="28"/>
        </w:rPr>
        <w:t>第六条  不可抗力事件处理</w:t>
      </w:r>
    </w:p>
    <w:p>
      <w:pPr>
        <w:pStyle w:val="4"/>
        <w:snapToGrid w:val="0"/>
        <w:spacing w:line="4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在合同有效期内，任何一方因不可抗力事件导致不能履行合同，则合同履行期可延长，其延长期与不可抗力影响期相同。</w:t>
      </w:r>
    </w:p>
    <w:p>
      <w:pPr>
        <w:spacing w:before="50" w:after="50" w:line="400" w:lineRule="exact"/>
        <w:rPr>
          <w:rFonts w:ascii="宋体" w:hAnsi="宋体"/>
          <w:b/>
          <w:szCs w:val="21"/>
        </w:rPr>
      </w:pPr>
      <w:r>
        <w:rPr>
          <w:rFonts w:hint="eastAsia" w:ascii="宋体" w:hAnsi="宋体"/>
          <w:b/>
          <w:sz w:val="28"/>
          <w:szCs w:val="28"/>
        </w:rPr>
        <w:t>第七条 违约责任</w:t>
      </w:r>
    </w:p>
    <w:p>
      <w:pPr>
        <w:pStyle w:val="4"/>
        <w:snapToGrid w:val="0"/>
        <w:spacing w:line="400" w:lineRule="exact"/>
        <w:ind w:firstLine="560" w:firstLineChars="200"/>
        <w:rPr>
          <w:rFonts w:asciiTheme="minorEastAsia" w:hAnsiTheme="minorEastAsia" w:cstheme="minorEastAsia"/>
          <w:sz w:val="28"/>
          <w:szCs w:val="28"/>
        </w:rPr>
      </w:pPr>
      <w:r>
        <w:rPr>
          <w:rFonts w:asciiTheme="minorEastAsia" w:hAnsiTheme="minorEastAsia" w:cstheme="minorEastAsia"/>
          <w:sz w:val="28"/>
          <w:szCs w:val="28"/>
        </w:rPr>
        <w:t>1.合同生效后，任何一方</w:t>
      </w:r>
      <w:r>
        <w:rPr>
          <w:rFonts w:hint="eastAsia" w:asciiTheme="minorEastAsia" w:hAnsiTheme="minorEastAsia" w:cstheme="minorEastAsia"/>
          <w:sz w:val="28"/>
          <w:szCs w:val="28"/>
        </w:rPr>
        <w:t>未有</w:t>
      </w:r>
      <w:r>
        <w:rPr>
          <w:rFonts w:asciiTheme="minorEastAsia" w:hAnsiTheme="minorEastAsia" w:cstheme="minorEastAsia"/>
          <w:sz w:val="28"/>
          <w:szCs w:val="28"/>
        </w:rPr>
        <w:t>正当理由</w:t>
      </w:r>
      <w:r>
        <w:rPr>
          <w:rFonts w:hint="eastAsia" w:asciiTheme="minorEastAsia" w:hAnsiTheme="minorEastAsia" w:cstheme="minorEastAsia"/>
          <w:sz w:val="28"/>
          <w:szCs w:val="28"/>
        </w:rPr>
        <w:t>单方</w:t>
      </w:r>
      <w:r>
        <w:rPr>
          <w:rFonts w:asciiTheme="minorEastAsia" w:hAnsiTheme="minorEastAsia" w:cstheme="minorEastAsia"/>
          <w:sz w:val="28"/>
          <w:szCs w:val="28"/>
        </w:rPr>
        <w:t>擅自解除合同</w:t>
      </w:r>
      <w:r>
        <w:rPr>
          <w:rFonts w:hint="eastAsia" w:asciiTheme="minorEastAsia" w:hAnsiTheme="minorEastAsia" w:cstheme="minorEastAsia"/>
          <w:sz w:val="28"/>
          <w:szCs w:val="28"/>
        </w:rPr>
        <w:t>的</w:t>
      </w:r>
      <w:r>
        <w:rPr>
          <w:rFonts w:asciiTheme="minorEastAsia" w:hAnsiTheme="minorEastAsia" w:cstheme="minorEastAsia"/>
          <w:sz w:val="28"/>
          <w:szCs w:val="28"/>
        </w:rPr>
        <w:t>，应按合同总金额的5%</w:t>
      </w:r>
      <w:r>
        <w:rPr>
          <w:rFonts w:hint="eastAsia" w:asciiTheme="minorEastAsia" w:hAnsiTheme="minorEastAsia" w:cstheme="minorEastAsia"/>
          <w:sz w:val="28"/>
          <w:szCs w:val="28"/>
        </w:rPr>
        <w:t>向</w:t>
      </w:r>
      <w:r>
        <w:rPr>
          <w:rFonts w:asciiTheme="minorEastAsia" w:hAnsiTheme="minorEastAsia" w:cstheme="minorEastAsia"/>
          <w:sz w:val="28"/>
          <w:szCs w:val="28"/>
        </w:rPr>
        <w:t>对方支付违约金，</w:t>
      </w:r>
      <w:r>
        <w:rPr>
          <w:rFonts w:hint="eastAsia" w:asciiTheme="minorEastAsia" w:hAnsiTheme="minorEastAsia" w:cstheme="minorEastAsia"/>
          <w:sz w:val="28"/>
          <w:szCs w:val="28"/>
        </w:rPr>
        <w:t>并</w:t>
      </w:r>
      <w:r>
        <w:rPr>
          <w:rFonts w:asciiTheme="minorEastAsia" w:hAnsiTheme="minorEastAsia" w:cstheme="minorEastAsia"/>
          <w:sz w:val="28"/>
          <w:szCs w:val="28"/>
        </w:rPr>
        <w:t>承担</w:t>
      </w:r>
      <w:r>
        <w:rPr>
          <w:rFonts w:hint="eastAsia" w:asciiTheme="minorEastAsia" w:hAnsiTheme="minorEastAsia" w:cstheme="minorEastAsia"/>
          <w:sz w:val="28"/>
          <w:szCs w:val="28"/>
        </w:rPr>
        <w:t>违约金</w:t>
      </w:r>
      <w:r>
        <w:rPr>
          <w:rFonts w:asciiTheme="minorEastAsia" w:hAnsiTheme="minorEastAsia" w:cstheme="minorEastAsia"/>
          <w:sz w:val="28"/>
          <w:szCs w:val="28"/>
        </w:rPr>
        <w:t>不足以弥补因此给对方造成的实际损失</w:t>
      </w:r>
      <w:r>
        <w:rPr>
          <w:rFonts w:hint="eastAsia" w:asciiTheme="minorEastAsia" w:hAnsiTheme="minorEastAsia" w:cstheme="minorEastAsia"/>
          <w:sz w:val="28"/>
          <w:szCs w:val="28"/>
        </w:rPr>
        <w:t>部分</w:t>
      </w:r>
      <w:r>
        <w:rPr>
          <w:rFonts w:asciiTheme="minorEastAsia" w:hAnsiTheme="minorEastAsia" w:cstheme="minorEastAsia"/>
          <w:sz w:val="28"/>
          <w:szCs w:val="28"/>
        </w:rPr>
        <w:t>（</w:t>
      </w:r>
      <w:r>
        <w:rPr>
          <w:rFonts w:hint="eastAsia" w:asciiTheme="minorEastAsia" w:hAnsiTheme="minorEastAsia" w:cstheme="minorEastAsia"/>
          <w:sz w:val="28"/>
          <w:szCs w:val="28"/>
        </w:rPr>
        <w:t>如有</w:t>
      </w:r>
      <w:r>
        <w:rPr>
          <w:rFonts w:asciiTheme="minorEastAsia" w:hAnsiTheme="minorEastAsia" w:cstheme="minorEastAsia"/>
          <w:sz w:val="28"/>
          <w:szCs w:val="28"/>
        </w:rPr>
        <w:t>）。</w:t>
      </w:r>
    </w:p>
    <w:p>
      <w:pPr>
        <w:pStyle w:val="4"/>
        <w:snapToGrid w:val="0"/>
        <w:spacing w:line="400" w:lineRule="exact"/>
        <w:ind w:firstLine="560" w:firstLineChars="200"/>
        <w:rPr>
          <w:rFonts w:asciiTheme="minorEastAsia" w:hAnsiTheme="minorEastAsia" w:cstheme="minorEastAsia"/>
          <w:sz w:val="28"/>
          <w:szCs w:val="28"/>
        </w:rPr>
      </w:pPr>
      <w:r>
        <w:rPr>
          <w:rFonts w:asciiTheme="minorEastAsia" w:hAnsiTheme="minorEastAsia" w:cstheme="minorEastAsia"/>
          <w:sz w:val="28"/>
          <w:szCs w:val="28"/>
        </w:rPr>
        <w:t>2.如因乙方原因</w:t>
      </w:r>
      <w:r>
        <w:rPr>
          <w:rFonts w:hint="eastAsia" w:asciiTheme="minorEastAsia" w:hAnsiTheme="minorEastAsia" w:cstheme="minorEastAsia"/>
          <w:sz w:val="28"/>
          <w:szCs w:val="28"/>
        </w:rPr>
        <w:t>逾期交付产品</w:t>
      </w:r>
      <w:r>
        <w:rPr>
          <w:rFonts w:asciiTheme="minorEastAsia" w:hAnsiTheme="minorEastAsia" w:cstheme="minorEastAsia"/>
          <w:sz w:val="28"/>
          <w:szCs w:val="28"/>
        </w:rPr>
        <w:t>的，</w:t>
      </w:r>
      <w:r>
        <w:rPr>
          <w:rFonts w:hint="eastAsia" w:asciiTheme="minorEastAsia" w:hAnsiTheme="minorEastAsia" w:cstheme="minorEastAsia"/>
          <w:sz w:val="28"/>
          <w:szCs w:val="28"/>
        </w:rPr>
        <w:t>每逾期</w:t>
      </w:r>
      <w:r>
        <w:rPr>
          <w:rFonts w:asciiTheme="minorEastAsia" w:hAnsiTheme="minorEastAsia" w:cstheme="minorEastAsia"/>
          <w:sz w:val="28"/>
          <w:szCs w:val="28"/>
        </w:rPr>
        <w:t>一日，乙方应按合同</w:t>
      </w:r>
      <w:r>
        <w:rPr>
          <w:rFonts w:hint="eastAsia" w:asciiTheme="minorEastAsia" w:hAnsiTheme="minorEastAsia" w:cstheme="minorEastAsia"/>
          <w:sz w:val="28"/>
          <w:szCs w:val="28"/>
        </w:rPr>
        <w:t>总</w:t>
      </w:r>
      <w:r>
        <w:rPr>
          <w:rFonts w:asciiTheme="minorEastAsia" w:hAnsiTheme="minorEastAsia" w:cstheme="minorEastAsia"/>
          <w:sz w:val="28"/>
          <w:szCs w:val="28"/>
        </w:rPr>
        <w:t>金额</w:t>
      </w:r>
      <w:r>
        <w:rPr>
          <w:rFonts w:hint="eastAsia" w:asciiTheme="minorEastAsia" w:hAnsiTheme="minorEastAsia" w:cstheme="minorEastAsia"/>
          <w:sz w:val="28"/>
          <w:szCs w:val="28"/>
        </w:rPr>
        <w:t>的</w:t>
      </w:r>
      <w:r>
        <w:rPr>
          <w:rFonts w:asciiTheme="minorEastAsia" w:hAnsiTheme="minorEastAsia" w:cstheme="minorEastAsia"/>
          <w:sz w:val="28"/>
          <w:szCs w:val="28"/>
        </w:rPr>
        <w:t>0.1%</w:t>
      </w:r>
      <w:r>
        <w:rPr>
          <w:rFonts w:hint="eastAsia" w:asciiTheme="minorEastAsia" w:hAnsiTheme="minorEastAsia" w:cstheme="minorEastAsia"/>
          <w:sz w:val="28"/>
          <w:szCs w:val="28"/>
        </w:rPr>
        <w:t>向</w:t>
      </w:r>
      <w:r>
        <w:rPr>
          <w:rFonts w:asciiTheme="minorEastAsia" w:hAnsiTheme="minorEastAsia" w:cstheme="minorEastAsia"/>
          <w:sz w:val="28"/>
          <w:szCs w:val="28"/>
        </w:rPr>
        <w:t>甲方</w:t>
      </w:r>
      <w:r>
        <w:rPr>
          <w:rFonts w:hint="eastAsia" w:asciiTheme="minorEastAsia" w:hAnsiTheme="minorEastAsia" w:cstheme="minorEastAsia"/>
          <w:sz w:val="28"/>
          <w:szCs w:val="28"/>
        </w:rPr>
        <w:t>支付</w:t>
      </w:r>
      <w:r>
        <w:rPr>
          <w:rFonts w:asciiTheme="minorEastAsia" w:hAnsiTheme="minorEastAsia" w:cstheme="minorEastAsia"/>
          <w:sz w:val="28"/>
          <w:szCs w:val="28"/>
        </w:rPr>
        <w:t>违约金，违约金不超过合同总</w:t>
      </w:r>
      <w:r>
        <w:rPr>
          <w:rFonts w:hint="eastAsia" w:asciiTheme="minorEastAsia" w:hAnsiTheme="minorEastAsia" w:cstheme="minorEastAsia"/>
          <w:sz w:val="28"/>
          <w:szCs w:val="28"/>
        </w:rPr>
        <w:t>金</w:t>
      </w:r>
      <w:r>
        <w:rPr>
          <w:rFonts w:asciiTheme="minorEastAsia" w:hAnsiTheme="minorEastAsia" w:cstheme="minorEastAsia"/>
          <w:sz w:val="28"/>
          <w:szCs w:val="28"/>
        </w:rPr>
        <w:t>额的5%。</w:t>
      </w:r>
      <w:r>
        <w:rPr>
          <w:rFonts w:hint="eastAsia" w:asciiTheme="minorEastAsia" w:hAnsiTheme="minorEastAsia" w:cstheme="minorEastAsia"/>
          <w:sz w:val="28"/>
          <w:szCs w:val="28"/>
        </w:rPr>
        <w:t>如</w:t>
      </w:r>
      <w:r>
        <w:rPr>
          <w:rFonts w:asciiTheme="minorEastAsia" w:hAnsiTheme="minorEastAsia" w:cstheme="minorEastAsia"/>
          <w:sz w:val="28"/>
          <w:szCs w:val="28"/>
        </w:rPr>
        <w:t>因乙方原因，延期</w:t>
      </w:r>
      <w:r>
        <w:rPr>
          <w:rFonts w:hint="eastAsia" w:asciiTheme="minorEastAsia" w:hAnsiTheme="minorEastAsia" w:cstheme="minorEastAsia"/>
          <w:sz w:val="28"/>
          <w:szCs w:val="28"/>
        </w:rPr>
        <w:t>交付</w:t>
      </w:r>
      <w:r>
        <w:rPr>
          <w:rFonts w:asciiTheme="minorEastAsia" w:hAnsiTheme="minorEastAsia" w:cstheme="minorEastAsia"/>
          <w:sz w:val="28"/>
          <w:szCs w:val="28"/>
        </w:rPr>
        <w:t>超过</w:t>
      </w:r>
      <w:r>
        <w:rPr>
          <w:rFonts w:hint="eastAsia" w:asciiTheme="minorEastAsia" w:hAnsiTheme="minorEastAsia" w:cstheme="minorEastAsia"/>
          <w:sz w:val="28"/>
          <w:szCs w:val="28"/>
        </w:rPr>
        <w:t>15</w:t>
      </w:r>
      <w:r>
        <w:rPr>
          <w:rFonts w:asciiTheme="minorEastAsia" w:hAnsiTheme="minorEastAsia" w:cstheme="minorEastAsia"/>
          <w:sz w:val="28"/>
          <w:szCs w:val="28"/>
        </w:rPr>
        <w:t>日，甲方有权单方解除本合</w:t>
      </w:r>
      <w:r>
        <w:rPr>
          <w:rFonts w:hint="eastAsia" w:asciiTheme="minorEastAsia" w:hAnsiTheme="minorEastAsia" w:cstheme="minorEastAsia"/>
          <w:sz w:val="28"/>
          <w:szCs w:val="28"/>
        </w:rPr>
        <w:t>同</w:t>
      </w:r>
      <w:r>
        <w:rPr>
          <w:rFonts w:asciiTheme="minorEastAsia" w:hAnsiTheme="minorEastAsia" w:cstheme="minorEastAsia"/>
          <w:sz w:val="28"/>
          <w:szCs w:val="28"/>
        </w:rPr>
        <w:t>。</w:t>
      </w:r>
    </w:p>
    <w:p>
      <w:pPr>
        <w:pStyle w:val="4"/>
        <w:snapToGrid w:val="0"/>
        <w:spacing w:line="400" w:lineRule="exact"/>
        <w:ind w:firstLine="560" w:firstLineChars="200"/>
        <w:rPr>
          <w:rFonts w:asciiTheme="minorEastAsia" w:hAnsiTheme="minorEastAsia" w:cstheme="minorEastAsia"/>
          <w:sz w:val="28"/>
          <w:szCs w:val="28"/>
        </w:rPr>
      </w:pPr>
      <w:r>
        <w:rPr>
          <w:rFonts w:asciiTheme="minorEastAsia" w:hAnsiTheme="minorEastAsia" w:cstheme="minorEastAsia"/>
          <w:sz w:val="28"/>
          <w:szCs w:val="28"/>
        </w:rPr>
        <w:t>3.</w:t>
      </w:r>
      <w:r>
        <w:rPr>
          <w:rFonts w:hint="eastAsia" w:asciiTheme="minorEastAsia" w:hAnsiTheme="minorEastAsia" w:cstheme="minorEastAsia"/>
          <w:sz w:val="28"/>
          <w:szCs w:val="28"/>
        </w:rPr>
        <w:t>甲方在规定期限内不能按时付款，则每延迟一天，支付合同总金额</w:t>
      </w:r>
      <w:r>
        <w:rPr>
          <w:rFonts w:asciiTheme="minorEastAsia" w:hAnsiTheme="minorEastAsia" w:cstheme="minorEastAsia"/>
          <w:sz w:val="28"/>
          <w:szCs w:val="28"/>
        </w:rPr>
        <w:t>0.1％的违约金，违约金不超过合同总</w:t>
      </w:r>
      <w:r>
        <w:rPr>
          <w:rFonts w:hint="eastAsia" w:asciiTheme="minorEastAsia" w:hAnsiTheme="minorEastAsia" w:cstheme="minorEastAsia"/>
          <w:sz w:val="28"/>
          <w:szCs w:val="28"/>
        </w:rPr>
        <w:t>金</w:t>
      </w:r>
      <w:r>
        <w:rPr>
          <w:rFonts w:asciiTheme="minorEastAsia" w:hAnsiTheme="minorEastAsia" w:cstheme="minorEastAsia"/>
          <w:sz w:val="28"/>
          <w:szCs w:val="28"/>
        </w:rPr>
        <w:t>额的5%。延期履行超过30日，乙方有权单方解除本合同。</w:t>
      </w:r>
    </w:p>
    <w:p>
      <w:pPr>
        <w:pStyle w:val="4"/>
        <w:snapToGrid w:val="0"/>
        <w:spacing w:line="400" w:lineRule="exact"/>
        <w:ind w:firstLine="560" w:firstLineChars="200"/>
        <w:rPr>
          <w:rFonts w:hint="eastAsia" w:asciiTheme="minorEastAsia" w:hAnsiTheme="minorEastAsia" w:cstheme="minorEastAsia"/>
          <w:sz w:val="28"/>
          <w:szCs w:val="28"/>
        </w:rPr>
      </w:pPr>
      <w:r>
        <w:rPr>
          <w:rFonts w:asciiTheme="minorEastAsia" w:hAnsiTheme="minorEastAsia" w:cstheme="minorEastAsia"/>
          <w:sz w:val="28"/>
          <w:szCs w:val="28"/>
        </w:rPr>
        <w:t>4.</w:t>
      </w:r>
      <w:r>
        <w:rPr>
          <w:rFonts w:hint="eastAsia" w:asciiTheme="minorEastAsia" w:hAnsiTheme="minorEastAsia" w:cstheme="minorEastAsia"/>
          <w:sz w:val="28"/>
          <w:szCs w:val="28"/>
        </w:rPr>
        <w:t>任一方因违约行为而承担的违约金和赔偿金累计不超过引发违约或赔偿事宜的产品所对应的价款数额。</w:t>
      </w:r>
    </w:p>
    <w:p>
      <w:pPr>
        <w:snapToGrid w:val="0"/>
        <w:spacing w:line="400" w:lineRule="exact"/>
        <w:ind w:firstLine="562" w:firstLineChars="200"/>
        <w:rPr>
          <w:rFonts w:ascii="宋体" w:hAnsi="宋体"/>
          <w:sz w:val="28"/>
          <w:szCs w:val="28"/>
        </w:rPr>
      </w:pPr>
      <w:r>
        <w:rPr>
          <w:rFonts w:hint="eastAsia" w:ascii="宋体" w:hAnsi="宋体"/>
          <w:b/>
          <w:sz w:val="28"/>
          <w:szCs w:val="28"/>
        </w:rPr>
        <w:t>第八条  合同争议解决</w:t>
      </w:r>
    </w:p>
    <w:p>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1、因履行本合同引起的或与本合同有关的争议，甲乙双方应首先通过友好协商解决，如果协商不能解决，可向甲方所在地人民法院提起诉讼。</w:t>
      </w:r>
    </w:p>
    <w:p>
      <w:pPr>
        <w:snapToGrid w:val="0"/>
        <w:spacing w:line="400" w:lineRule="exact"/>
        <w:ind w:left="-61" w:firstLine="514"/>
        <w:rPr>
          <w:rFonts w:ascii="宋体" w:hAnsi="宋体" w:eastAsia="宋体" w:cs="宋体"/>
          <w:sz w:val="28"/>
          <w:szCs w:val="28"/>
        </w:rPr>
      </w:pPr>
      <w:r>
        <w:rPr>
          <w:rFonts w:hint="eastAsia" w:ascii="宋体" w:hAnsi="宋体" w:eastAsia="宋体" w:cs="宋体"/>
          <w:sz w:val="28"/>
          <w:szCs w:val="28"/>
        </w:rPr>
        <w:t>2、诉讼期间，本合同继续履行。</w:t>
      </w:r>
    </w:p>
    <w:p>
      <w:pPr>
        <w:pStyle w:val="4"/>
        <w:snapToGrid w:val="0"/>
        <w:spacing w:line="400" w:lineRule="exact"/>
        <w:ind w:firstLine="551" w:firstLineChars="196"/>
        <w:rPr>
          <w:rFonts w:hAnsi="宋体"/>
          <w:b/>
          <w:kern w:val="2"/>
          <w:sz w:val="28"/>
          <w:szCs w:val="28"/>
        </w:rPr>
      </w:pPr>
      <w:r>
        <w:rPr>
          <w:rFonts w:hint="eastAsia" w:hAnsi="宋体"/>
          <w:b/>
          <w:kern w:val="2"/>
          <w:sz w:val="28"/>
          <w:szCs w:val="28"/>
        </w:rPr>
        <w:t>第九条  合同生效及其它</w:t>
      </w:r>
    </w:p>
    <w:p>
      <w:pPr>
        <w:pStyle w:val="4"/>
        <w:snapToGrid w:val="0"/>
        <w:spacing w:line="4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1.合同经双方法定代表人或被授权代表签字并加盖单位公章后生效。</w:t>
      </w:r>
    </w:p>
    <w:p>
      <w:pPr>
        <w:pStyle w:val="4"/>
        <w:snapToGrid w:val="0"/>
        <w:spacing w:line="4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2.合同执行中涉及采购资金和采购内容修改或补充的，在法规范围内，须签书面补充协议方可作为主合同不可分割的一部分。</w:t>
      </w:r>
    </w:p>
    <w:p>
      <w:pPr>
        <w:pStyle w:val="4"/>
        <w:snapToGrid w:val="0"/>
        <w:spacing w:line="400" w:lineRule="exact"/>
        <w:ind w:left="420" w:leftChars="200"/>
        <w:rPr>
          <w:rFonts w:asciiTheme="minorEastAsia" w:hAnsiTheme="minorEastAsia" w:cstheme="minorEastAsia"/>
          <w:sz w:val="28"/>
          <w:szCs w:val="28"/>
        </w:rPr>
      </w:pPr>
      <w:r>
        <w:rPr>
          <w:rFonts w:hint="eastAsia" w:asciiTheme="minorEastAsia" w:hAnsiTheme="minorEastAsia" w:cstheme="minorEastAsia"/>
          <w:sz w:val="28"/>
          <w:szCs w:val="28"/>
        </w:rPr>
        <w:t>3.本合同未尽事宜，遵照《合同法》有关条文执行。</w:t>
      </w:r>
    </w:p>
    <w:p>
      <w:pPr>
        <w:snapToGrid w:val="0"/>
        <w:spacing w:line="400" w:lineRule="exact"/>
        <w:ind w:firstLine="562" w:firstLineChars="200"/>
        <w:rPr>
          <w:rFonts w:ascii="宋体" w:hAnsi="宋体"/>
          <w:b/>
          <w:sz w:val="28"/>
          <w:szCs w:val="28"/>
        </w:rPr>
      </w:pPr>
      <w:r>
        <w:rPr>
          <w:rFonts w:hint="eastAsia" w:ascii="宋体" w:hAnsi="宋体"/>
          <w:b/>
          <w:sz w:val="28"/>
          <w:szCs w:val="28"/>
        </w:rPr>
        <w:t>第十条　合同的变更、终止与转让</w:t>
      </w:r>
    </w:p>
    <w:p>
      <w:pPr>
        <w:snapToGrid w:val="0"/>
        <w:spacing w:line="4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除《中华人民共和国政府采购法》第五十条规定的情形外，本合同一经签订，甲乙双方不得擅自变更、中止或终止。</w:t>
      </w:r>
    </w:p>
    <w:p>
      <w:pPr>
        <w:snapToGrid w:val="0"/>
        <w:spacing w:line="400" w:lineRule="exact"/>
        <w:ind w:firstLine="562" w:firstLineChars="200"/>
        <w:rPr>
          <w:rFonts w:ascii="宋体" w:hAnsi="宋体" w:eastAsia="宋体" w:cs="宋体"/>
          <w:sz w:val="28"/>
          <w:szCs w:val="28"/>
        </w:rPr>
      </w:pPr>
      <w:r>
        <w:rPr>
          <w:rFonts w:hint="eastAsia" w:ascii="宋体" w:hAnsi="宋体"/>
          <w:b/>
          <w:sz w:val="28"/>
          <w:szCs w:val="28"/>
        </w:rPr>
        <w:t>第十一条　</w:t>
      </w:r>
      <w:r>
        <w:rPr>
          <w:rFonts w:hint="eastAsia" w:ascii="宋体" w:hAnsi="宋体" w:eastAsia="宋体" w:cs="宋体"/>
          <w:sz w:val="28"/>
          <w:szCs w:val="28"/>
        </w:rPr>
        <w:t>本合同一式伍份，具有同等法律效力，甲方肆份，乙方壹份，采购代理机构壹份。本合同甲乙双方签字盖章后生效。</w:t>
      </w:r>
    </w:p>
    <w:tbl>
      <w:tblPr>
        <w:tblStyle w:val="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264" w:type="dxa"/>
            <w:vAlign w:val="center"/>
          </w:tcPr>
          <w:p>
            <w:pPr>
              <w:snapToGrid w:val="0"/>
              <w:spacing w:line="400" w:lineRule="exact"/>
              <w:rPr>
                <w:rFonts w:ascii="宋体" w:hAnsi="宋体"/>
                <w:sz w:val="28"/>
                <w:szCs w:val="28"/>
              </w:rPr>
            </w:pPr>
            <w:r>
              <w:rPr>
                <w:rFonts w:hint="eastAsia" w:ascii="宋体" w:hAnsi="宋体"/>
                <w:sz w:val="28"/>
                <w:szCs w:val="28"/>
              </w:rPr>
              <w:t xml:space="preserve">甲方（章）           </w:t>
            </w:r>
          </w:p>
          <w:p>
            <w:pPr>
              <w:snapToGrid w:val="0"/>
              <w:spacing w:line="400" w:lineRule="exact"/>
              <w:rPr>
                <w:rFonts w:ascii="宋体" w:hAnsi="宋体"/>
                <w:sz w:val="28"/>
                <w:szCs w:val="28"/>
              </w:rPr>
            </w:pPr>
          </w:p>
          <w:p>
            <w:pPr>
              <w:snapToGrid w:val="0"/>
              <w:spacing w:line="400" w:lineRule="exact"/>
              <w:ind w:firstLine="1260" w:firstLineChars="450"/>
              <w:jc w:val="right"/>
              <w:rPr>
                <w:rFonts w:ascii="宋体" w:hAnsi="宋体"/>
                <w:sz w:val="28"/>
                <w:szCs w:val="28"/>
              </w:rPr>
            </w:pPr>
            <w:r>
              <w:rPr>
                <w:rFonts w:hint="eastAsia" w:ascii="宋体" w:hAnsi="宋体"/>
                <w:sz w:val="28"/>
                <w:szCs w:val="28"/>
              </w:rPr>
              <w:t>年   月   日</w:t>
            </w:r>
          </w:p>
        </w:tc>
        <w:tc>
          <w:tcPr>
            <w:tcW w:w="4264" w:type="dxa"/>
            <w:vAlign w:val="center"/>
          </w:tcPr>
          <w:p>
            <w:pPr>
              <w:snapToGrid w:val="0"/>
              <w:spacing w:line="400" w:lineRule="exact"/>
              <w:rPr>
                <w:rFonts w:ascii="宋体" w:hAnsi="宋体"/>
                <w:sz w:val="28"/>
                <w:szCs w:val="28"/>
              </w:rPr>
            </w:pPr>
            <w:r>
              <w:rPr>
                <w:rFonts w:hint="eastAsia" w:ascii="宋体" w:hAnsi="宋体"/>
                <w:sz w:val="28"/>
                <w:szCs w:val="28"/>
              </w:rPr>
              <w:t xml:space="preserve">乙方（章）              </w:t>
            </w:r>
          </w:p>
          <w:p>
            <w:pPr>
              <w:snapToGrid w:val="0"/>
              <w:spacing w:line="400" w:lineRule="exact"/>
              <w:rPr>
                <w:rFonts w:ascii="宋体" w:hAnsi="宋体"/>
                <w:sz w:val="28"/>
                <w:szCs w:val="28"/>
              </w:rPr>
            </w:pPr>
          </w:p>
          <w:p>
            <w:pPr>
              <w:snapToGrid w:val="0"/>
              <w:spacing w:line="400" w:lineRule="exact"/>
              <w:jc w:val="right"/>
              <w:rPr>
                <w:rFonts w:ascii="宋体" w:hAnsi="宋体"/>
                <w:sz w:val="28"/>
                <w:szCs w:val="28"/>
              </w:rPr>
            </w:pPr>
            <w:r>
              <w:rPr>
                <w:rFonts w:hint="eastAsia" w:ascii="宋体" w:hAnsi="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 w:val="28"/>
                <w:szCs w:val="28"/>
              </w:rPr>
            </w:pPr>
            <w:r>
              <w:rPr>
                <w:rFonts w:hint="eastAsia" w:ascii="宋体" w:hAnsi="宋体"/>
                <w:sz w:val="28"/>
                <w:szCs w:val="28"/>
              </w:rPr>
              <w:t>单位地址：南宁市昆仑大道1258号</w:t>
            </w:r>
          </w:p>
        </w:tc>
        <w:tc>
          <w:tcPr>
            <w:tcW w:w="4264" w:type="dxa"/>
            <w:vAlign w:val="center"/>
          </w:tcPr>
          <w:p>
            <w:pPr>
              <w:snapToGrid w:val="0"/>
              <w:spacing w:line="400" w:lineRule="exact"/>
              <w:rPr>
                <w:rFonts w:ascii="宋体" w:hAnsi="宋体"/>
                <w:sz w:val="28"/>
                <w:szCs w:val="28"/>
              </w:rPr>
            </w:pPr>
            <w:r>
              <w:rPr>
                <w:rFonts w:hint="eastAsia" w:ascii="宋体" w:hAnsi="宋体"/>
                <w:sz w:val="28"/>
                <w:szCs w:val="28"/>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 w:val="28"/>
                <w:szCs w:val="28"/>
              </w:rPr>
            </w:pPr>
            <w:r>
              <w:rPr>
                <w:rFonts w:hint="eastAsia" w:ascii="宋体" w:hAnsi="宋体"/>
                <w:sz w:val="28"/>
                <w:szCs w:val="28"/>
              </w:rPr>
              <w:t>法定代表人：</w:t>
            </w:r>
          </w:p>
        </w:tc>
        <w:tc>
          <w:tcPr>
            <w:tcW w:w="4264" w:type="dxa"/>
            <w:vAlign w:val="center"/>
          </w:tcPr>
          <w:p>
            <w:pPr>
              <w:snapToGrid w:val="0"/>
              <w:spacing w:line="400" w:lineRule="exact"/>
              <w:rPr>
                <w:rFonts w:ascii="宋体" w:hAnsi="宋体"/>
                <w:sz w:val="28"/>
                <w:szCs w:val="28"/>
              </w:rPr>
            </w:pPr>
            <w:r>
              <w:rPr>
                <w:rFonts w:hint="eastAsia" w:ascii="宋体" w:hAnsi="宋体"/>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 w:val="28"/>
                <w:szCs w:val="28"/>
              </w:rPr>
            </w:pPr>
            <w:r>
              <w:rPr>
                <w:rFonts w:hint="eastAsia" w:ascii="宋体" w:hAnsi="宋体"/>
                <w:sz w:val="28"/>
                <w:szCs w:val="28"/>
              </w:rPr>
              <w:t>委托代理人：</w:t>
            </w:r>
          </w:p>
        </w:tc>
        <w:tc>
          <w:tcPr>
            <w:tcW w:w="4264" w:type="dxa"/>
            <w:vAlign w:val="center"/>
          </w:tcPr>
          <w:p>
            <w:pPr>
              <w:snapToGrid w:val="0"/>
              <w:spacing w:line="400" w:lineRule="exact"/>
              <w:rPr>
                <w:rFonts w:ascii="宋体" w:hAnsi="宋体"/>
                <w:sz w:val="28"/>
                <w:szCs w:val="28"/>
              </w:rPr>
            </w:pPr>
            <w:r>
              <w:rPr>
                <w:rFonts w:hint="eastAsia" w:ascii="宋体" w:hAnsi="宋体"/>
                <w:sz w:val="28"/>
                <w:szCs w:val="28"/>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 w:val="28"/>
                <w:szCs w:val="28"/>
              </w:rPr>
            </w:pPr>
            <w:r>
              <w:rPr>
                <w:rFonts w:hint="eastAsia" w:ascii="宋体" w:hAnsi="宋体"/>
                <w:sz w:val="28"/>
                <w:szCs w:val="28"/>
              </w:rPr>
              <w:t>电话：</w:t>
            </w:r>
          </w:p>
        </w:tc>
        <w:tc>
          <w:tcPr>
            <w:tcW w:w="4264" w:type="dxa"/>
            <w:vAlign w:val="center"/>
          </w:tcPr>
          <w:p>
            <w:pPr>
              <w:snapToGrid w:val="0"/>
              <w:spacing w:line="400" w:lineRule="exact"/>
              <w:rPr>
                <w:rFonts w:ascii="宋体" w:hAnsi="宋体"/>
                <w:sz w:val="28"/>
                <w:szCs w:val="28"/>
              </w:rPr>
            </w:pPr>
            <w:r>
              <w:rPr>
                <w:rFonts w:hint="eastAsia" w:ascii="宋体" w:hAnsi="宋体"/>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 w:val="28"/>
                <w:szCs w:val="28"/>
              </w:rPr>
            </w:pPr>
            <w:r>
              <w:rPr>
                <w:rFonts w:hint="eastAsia" w:ascii="宋体" w:hAnsi="宋体"/>
                <w:sz w:val="28"/>
                <w:szCs w:val="28"/>
              </w:rPr>
              <w:t>开户银行：</w:t>
            </w:r>
          </w:p>
        </w:tc>
        <w:tc>
          <w:tcPr>
            <w:tcW w:w="4264" w:type="dxa"/>
            <w:vAlign w:val="center"/>
          </w:tcPr>
          <w:p>
            <w:pPr>
              <w:snapToGrid w:val="0"/>
              <w:spacing w:line="400" w:lineRule="exact"/>
              <w:rPr>
                <w:rFonts w:ascii="宋体" w:hAnsi="宋体"/>
                <w:sz w:val="28"/>
                <w:szCs w:val="28"/>
              </w:rPr>
            </w:pPr>
            <w:r>
              <w:rPr>
                <w:rFonts w:hint="eastAsia" w:ascii="宋体" w:hAnsi="宋体"/>
                <w:sz w:val="28"/>
                <w:szCs w:val="28"/>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 w:val="28"/>
                <w:szCs w:val="28"/>
              </w:rPr>
            </w:pPr>
            <w:r>
              <w:rPr>
                <w:rFonts w:hint="eastAsia" w:ascii="宋体" w:hAnsi="宋体"/>
                <w:sz w:val="28"/>
                <w:szCs w:val="28"/>
              </w:rPr>
              <w:t>账号：</w:t>
            </w:r>
          </w:p>
        </w:tc>
        <w:tc>
          <w:tcPr>
            <w:tcW w:w="4264" w:type="dxa"/>
            <w:vAlign w:val="center"/>
          </w:tcPr>
          <w:p>
            <w:pPr>
              <w:snapToGrid w:val="0"/>
              <w:spacing w:line="400" w:lineRule="exact"/>
              <w:rPr>
                <w:rFonts w:ascii="宋体" w:hAnsi="宋体"/>
                <w:sz w:val="28"/>
                <w:szCs w:val="28"/>
              </w:rPr>
            </w:pPr>
            <w:r>
              <w:rPr>
                <w:rFonts w:hint="eastAsia" w:ascii="宋体" w:hAnsi="宋体"/>
                <w:sz w:val="28"/>
                <w:szCs w:val="28"/>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 w:val="28"/>
                <w:szCs w:val="28"/>
              </w:rPr>
            </w:pPr>
            <w:r>
              <w:rPr>
                <w:rFonts w:hint="eastAsia" w:ascii="宋体" w:hAnsi="宋体"/>
                <w:sz w:val="28"/>
                <w:szCs w:val="28"/>
              </w:rPr>
              <w:t>邮政编码：</w:t>
            </w:r>
          </w:p>
        </w:tc>
        <w:tc>
          <w:tcPr>
            <w:tcW w:w="4264" w:type="dxa"/>
            <w:vAlign w:val="center"/>
          </w:tcPr>
          <w:p>
            <w:pPr>
              <w:snapToGrid w:val="0"/>
              <w:spacing w:line="400" w:lineRule="exact"/>
              <w:rPr>
                <w:rFonts w:ascii="宋体" w:hAnsi="宋体"/>
                <w:sz w:val="28"/>
                <w:szCs w:val="28"/>
              </w:rPr>
            </w:pPr>
            <w:r>
              <w:rPr>
                <w:rFonts w:hint="eastAsia" w:ascii="宋体" w:hAnsi="宋体"/>
                <w:sz w:val="28"/>
                <w:szCs w:val="28"/>
              </w:rPr>
              <w:t>邮政编码：</w:t>
            </w:r>
          </w:p>
        </w:tc>
      </w:tr>
    </w:tbl>
    <w:p>
      <w:pPr>
        <w:spacing w:line="440" w:lineRule="exact"/>
        <w:rPr>
          <w:rFonts w:ascii="仿宋" w:hAnsi="仿宋" w:eastAsia="仿宋"/>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10</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10</w:t>
                    </w:r>
                    <w:r>
                      <w:rPr>
                        <w:rFonts w:hint="eastAsia"/>
                      </w:rPr>
                      <w:fldChar w:fldCharType="end"/>
                    </w:r>
                    <w:r>
                      <w:rPr>
                        <w:rFonts w:hint="eastAsia"/>
                      </w:rPr>
                      <w:t xml:space="preserve"> 页</w:t>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24FDD"/>
    <w:rsid w:val="001538FF"/>
    <w:rsid w:val="002A0675"/>
    <w:rsid w:val="00AF337A"/>
    <w:rsid w:val="00EC0AD1"/>
    <w:rsid w:val="33C83779"/>
    <w:rsid w:val="3D2341C4"/>
    <w:rsid w:val="420B06F7"/>
    <w:rsid w:val="7A924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99"/>
    <w:pPr>
      <w:spacing w:after="120"/>
    </w:pPr>
  </w:style>
  <w:style w:type="paragraph" w:styleId="4">
    <w:name w:val="Plain Text"/>
    <w:basedOn w:val="1"/>
    <w:qFormat/>
    <w:uiPriority w:val="0"/>
    <w:rPr>
      <w:rFonts w:ascii="宋体" w:hAnsi="Courier New"/>
      <w:kern w:val="0"/>
      <w:sz w:val="20"/>
      <w:szCs w:val="21"/>
    </w:rPr>
  </w:style>
  <w:style w:type="paragraph" w:styleId="5">
    <w:name w:val="Balloon Text"/>
    <w:basedOn w:val="1"/>
    <w:link w:val="10"/>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批注框文本 Char"/>
    <w:basedOn w:val="9"/>
    <w:link w:val="5"/>
    <w:qFormat/>
    <w:uiPriority w:val="0"/>
    <w:rPr>
      <w:kern w:val="2"/>
      <w:sz w:val="18"/>
      <w:szCs w:val="18"/>
    </w:rPr>
  </w:style>
  <w:style w:type="character" w:customStyle="1" w:styleId="11">
    <w:name w:val="页眉 Char"/>
    <w:basedOn w:val="9"/>
    <w:link w:val="7"/>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851</Words>
  <Characters>4851</Characters>
  <Lines>40</Lines>
  <Paragraphs>11</Paragraphs>
  <TotalTime>0</TotalTime>
  <ScaleCrop>false</ScaleCrop>
  <LinksUpToDate>false</LinksUpToDate>
  <CharactersWithSpaces>5691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2021-09-06T03:06:00Z</dcterms:created>
  <dc:creator>李克元</dc:creator>
  <cp:lastModifiedBy>李克元</cp:lastModifiedBy>
  <dcterms:modified xsi:type="dcterms:W3CDTF">2021-09-15T07:23:06Z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41C39023ABEA43DC858EDC5F0EBF05C9</vt:lpwstr>
  </property>
</Properties>
</file>