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46B8" w14:textId="77777777" w:rsidR="00805608" w:rsidRDefault="007B28D6" w:rsidP="00805608">
      <w:pPr>
        <w:pStyle w:val="a0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</w:p>
    <w:p w14:paraId="01F015C1" w14:textId="77777777" w:rsidR="00C0425F" w:rsidRDefault="007B28D6">
      <w:pPr>
        <w:pStyle w:val="a0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年度全国职业技能大赛《电子产品芯片级检测维修与数据恢复》项目</w:t>
      </w:r>
    </w:p>
    <w:p w14:paraId="0ED0CAB9" w14:textId="225A6C0E" w:rsidR="00BF3EFD" w:rsidRDefault="007B28D6">
      <w:pPr>
        <w:pStyle w:val="a0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实训耗材采购清单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709"/>
        <w:gridCol w:w="708"/>
        <w:gridCol w:w="993"/>
        <w:gridCol w:w="992"/>
        <w:gridCol w:w="1559"/>
        <w:gridCol w:w="992"/>
      </w:tblGrid>
      <w:tr w:rsidR="00BF3EFD" w14:paraId="6F975B5A" w14:textId="77777777">
        <w:trPr>
          <w:trHeight w:val="1020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7AFDE575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958B9EE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货物（服务、工程）名称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14:paraId="5BE1C630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7F7CFA79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78A1E864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65D4F04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预算单价（元）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4AD550B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8A48C4B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询价单位名称及联系方式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BA6F87C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询价价格</w:t>
            </w:r>
          </w:p>
        </w:tc>
      </w:tr>
      <w:tr w:rsidR="00BF3EFD" w14:paraId="7A0F5335" w14:textId="77777777">
        <w:trPr>
          <w:trHeight w:val="510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C986F47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/>
            <w:vAlign w:val="center"/>
          </w:tcPr>
          <w:p w14:paraId="1EF1B9B5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计算机系列电路功能板实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训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套件</w:t>
            </w:r>
          </w:p>
          <w:p w14:paraId="3A6E1019" w14:textId="77777777" w:rsidR="00BF3EFD" w:rsidRDefault="00BF3E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14:paraId="2B6C6387" w14:textId="77777777" w:rsidR="00BF3EFD" w:rsidRDefault="007B28D6" w:rsidP="00805608">
            <w:pPr>
              <w:widowControl/>
              <w:jc w:val="left"/>
            </w:pP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型号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CPT-STM-PACK01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V2.0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t>）电路功能板实</w:t>
            </w:r>
            <w:proofErr w:type="gramStart"/>
            <w:r>
              <w:t>训</w:t>
            </w:r>
            <w:proofErr w:type="gramEnd"/>
            <w:r>
              <w:t>套装</w:t>
            </w:r>
            <w:r>
              <w:t>A</w:t>
            </w:r>
            <w:r>
              <w:t>，</w:t>
            </w:r>
            <w:r>
              <w:t>25</w:t>
            </w:r>
            <w:r>
              <w:t>种，每种</w:t>
            </w:r>
            <w:r>
              <w:t>1</w:t>
            </w:r>
            <w:r>
              <w:t>块，每块配料包</w:t>
            </w:r>
            <w:r>
              <w:t>1</w:t>
            </w:r>
            <w:r>
              <w:t>包，所有板卡支持对接智能检测云平台。</w:t>
            </w:r>
          </w:p>
          <w:p w14:paraId="783300B7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t>）功能板种类需包括：</w:t>
            </w:r>
          </w:p>
          <w:p w14:paraId="57AF620B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台式机</w:t>
            </w:r>
            <w:r>
              <w:t>CMOS</w:t>
            </w:r>
            <w:r>
              <w:t>电路功能板（</w:t>
            </w:r>
            <w:r>
              <w:t>G41</w:t>
            </w:r>
            <w:r>
              <w:t>架构）、台式机显卡声卡接口电路功能板（</w:t>
            </w:r>
            <w:r>
              <w:t>G41</w:t>
            </w:r>
            <w:r>
              <w:t>架构）、台式机接口电路功能板（</w:t>
            </w:r>
            <w:r>
              <w:t>G41</w:t>
            </w:r>
            <w:r>
              <w:t>架构）、台式机</w:t>
            </w:r>
            <w:r>
              <w:t>CPU</w:t>
            </w:r>
            <w:r>
              <w:t>供电电路功能板（</w:t>
            </w:r>
            <w:r>
              <w:t>G41</w:t>
            </w:r>
            <w:r>
              <w:t>架构）、台式机声卡电路功能板（</w:t>
            </w:r>
            <w:r>
              <w:t>H81-</w:t>
            </w:r>
            <w:r>
              <w:t>架构）、台式机时钟电路功能板（</w:t>
            </w:r>
            <w:r>
              <w:t>H81-</w:t>
            </w:r>
            <w:r>
              <w:t>架构）、台式机复位电路功能板（</w:t>
            </w:r>
            <w:r>
              <w:t>H81-</w:t>
            </w:r>
            <w:r>
              <w:t>架构）、台式机</w:t>
            </w:r>
            <w:r>
              <w:t>IO</w:t>
            </w:r>
            <w:r>
              <w:t>设备电路功能板（</w:t>
            </w:r>
            <w:r>
              <w:t>H81-</w:t>
            </w:r>
            <w:r>
              <w:t>架构）、笔记本辅助电路功能板（</w:t>
            </w:r>
            <w:r>
              <w:t>yoga</w:t>
            </w:r>
            <w:r>
              <w:t>系列）、笔记本声卡电路功能板（</w:t>
            </w:r>
            <w:r>
              <w:t>yoga</w:t>
            </w:r>
            <w:r>
              <w:t>系列）、笔记本显示接口电路功能板（</w:t>
            </w:r>
            <w:r>
              <w:t>yoga</w:t>
            </w:r>
            <w:r>
              <w:t>系列）、笔记本输入输出电路功能板（</w:t>
            </w:r>
            <w:r>
              <w:t>yoga</w:t>
            </w:r>
            <w:r>
              <w:t>系列）、笔记本核心电路功能板（</w:t>
            </w:r>
            <w:r>
              <w:t>yoga</w:t>
            </w:r>
            <w:r>
              <w:t>系列</w:t>
            </w:r>
            <w:r>
              <w:t>FPG</w:t>
            </w:r>
            <w:r>
              <w:t>A</w:t>
            </w:r>
            <w:r>
              <w:t>仿真）、笔记本电源管理电路功能板（</w:t>
            </w:r>
            <w:r>
              <w:t>yoga</w:t>
            </w:r>
            <w:r>
              <w:t>系列</w:t>
            </w:r>
            <w:r>
              <w:t>FPGA</w:t>
            </w:r>
            <w:r>
              <w:t>仿真）、台</w:t>
            </w:r>
            <w:r>
              <w:lastRenderedPageBreak/>
              <w:t>式机</w:t>
            </w:r>
            <w:r>
              <w:t>CMOS</w:t>
            </w:r>
            <w:r>
              <w:t>电路功能板（</w:t>
            </w:r>
            <w:r>
              <w:t>H81-</w:t>
            </w:r>
            <w:r>
              <w:t>架构）、台式机供电电路功能板（</w:t>
            </w:r>
            <w:r>
              <w:t>H81-</w:t>
            </w:r>
            <w:r>
              <w:t>架构）、一体机</w:t>
            </w:r>
            <w:r>
              <w:t>AFE</w:t>
            </w:r>
            <w:r>
              <w:t>与时钟分配电路功能板（一体机系列）、台式机系统控制电路功能板</w:t>
            </w:r>
            <w:r>
              <w:t>-H81</w:t>
            </w:r>
            <w:r>
              <w:t>（</w:t>
            </w:r>
            <w:proofErr w:type="spellStart"/>
            <w:r>
              <w:t>H81</w:t>
            </w:r>
            <w:proofErr w:type="spellEnd"/>
            <w:r>
              <w:t>-</w:t>
            </w:r>
            <w:r>
              <w:t>架构）、一体机</w:t>
            </w:r>
            <w:r>
              <w:t>DRAM</w:t>
            </w:r>
            <w:r>
              <w:t>动态存储器电路功能板（一体机系列）、一体机</w:t>
            </w:r>
            <w:r>
              <w:t>LSU</w:t>
            </w:r>
            <w:r>
              <w:t>激光扫描电路功能板</w:t>
            </w:r>
            <w:r>
              <w:t>PRLASER1</w:t>
            </w:r>
            <w:r>
              <w:t>（一体机系列）、一体机</w:t>
            </w:r>
            <w:r>
              <w:t>MODEM</w:t>
            </w:r>
            <w:r>
              <w:t>功能电路功能板（一体机系列）、</w:t>
            </w:r>
            <w:proofErr w:type="spellStart"/>
            <w:r>
              <w:t>ipad</w:t>
            </w:r>
            <w:proofErr w:type="spellEnd"/>
            <w:r>
              <w:t>中央处理器电路功能板（</w:t>
            </w:r>
            <w:proofErr w:type="spellStart"/>
            <w:r>
              <w:t>ipad</w:t>
            </w:r>
            <w:proofErr w:type="spellEnd"/>
            <w:r>
              <w:t>系列）、</w:t>
            </w:r>
            <w:proofErr w:type="spellStart"/>
            <w:r>
              <w:t>ipad</w:t>
            </w:r>
            <w:proofErr w:type="spellEnd"/>
            <w:r>
              <w:t xml:space="preserve"> </w:t>
            </w:r>
            <w:r>
              <w:t>电源管理电路功能板（</w:t>
            </w:r>
            <w:proofErr w:type="spellStart"/>
            <w:r>
              <w:t>ipad</w:t>
            </w:r>
            <w:proofErr w:type="spellEnd"/>
            <w:r>
              <w:t>系列）、</w:t>
            </w:r>
            <w:proofErr w:type="spellStart"/>
            <w:r>
              <w:t>ipad</w:t>
            </w:r>
            <w:proofErr w:type="spellEnd"/>
            <w:r>
              <w:t xml:space="preserve"> </w:t>
            </w:r>
            <w:r>
              <w:t>协处</w:t>
            </w:r>
            <w:r>
              <w:rPr>
                <w:rFonts w:hint="eastAsia"/>
              </w:rPr>
              <w:t>理器电</w:t>
            </w:r>
            <w:r>
              <w:rPr>
                <w:rFonts w:hint="eastAsia"/>
              </w:rPr>
              <w:t>路（</w:t>
            </w:r>
            <w:proofErr w:type="spellStart"/>
            <w:r>
              <w:t>ipad</w:t>
            </w:r>
            <w:proofErr w:type="spellEnd"/>
            <w:r>
              <w:t>系列）、</w:t>
            </w:r>
            <w:proofErr w:type="spellStart"/>
            <w:r>
              <w:t>ipad</w:t>
            </w:r>
            <w:proofErr w:type="spellEnd"/>
            <w:r>
              <w:t xml:space="preserve"> GPS</w:t>
            </w:r>
            <w:r>
              <w:t>模块电路功能板（</w:t>
            </w:r>
            <w:proofErr w:type="spellStart"/>
            <w:r>
              <w:t>ipad</w:t>
            </w:r>
            <w:proofErr w:type="spellEnd"/>
            <w:r>
              <w:t>系列）</w:t>
            </w:r>
          </w:p>
          <w:p w14:paraId="7E5119AF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t>）每块功能</w:t>
            </w:r>
            <w:proofErr w:type="gramStart"/>
            <w:r>
              <w:t>板需支持</w:t>
            </w:r>
            <w:proofErr w:type="gramEnd"/>
            <w:r>
              <w:t>以下标准：</w:t>
            </w:r>
          </w:p>
          <w:p w14:paraId="085338AD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具备直流电源接口，可使功能板模拟相对应电路的工作状态；</w:t>
            </w:r>
          </w:p>
          <w:p w14:paraId="7BB2001D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可设置维修用故障点；</w:t>
            </w:r>
          </w:p>
          <w:p w14:paraId="76BB4C5F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具备检测接口，检测针脚</w:t>
            </w:r>
            <w:r>
              <w:t>80</w:t>
            </w:r>
            <w:r>
              <w:t>，可与智能检测云平台连接；</w:t>
            </w:r>
          </w:p>
          <w:p w14:paraId="0A6DD1D3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可通过智能检测平台精确定位维修故障点；</w:t>
            </w:r>
          </w:p>
          <w:p w14:paraId="32174220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每个故障点位置可支持不少于</w:t>
            </w:r>
            <w:r>
              <w:t>100</w:t>
            </w:r>
            <w:r>
              <w:t>次的故障设定及维修的循环使用；</w:t>
            </w:r>
          </w:p>
          <w:p w14:paraId="4150A17D" w14:textId="77777777" w:rsidR="00BF3EFD" w:rsidRDefault="007B28D6" w:rsidP="00805608">
            <w:pPr>
              <w:widowControl/>
              <w:jc w:val="left"/>
            </w:pPr>
            <w:r>
              <w:rPr>
                <w:rFonts w:hint="eastAsia"/>
              </w:rPr>
              <w:t>带有指示灯，能够查看功能板的基本状态。</w:t>
            </w:r>
          </w:p>
          <w:p w14:paraId="4D500669" w14:textId="77777777" w:rsidR="00BF3EFD" w:rsidRDefault="007B28D6" w:rsidP="0080560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t>）笔记本核心电路功能板（</w:t>
            </w:r>
            <w:r>
              <w:t>yoga</w:t>
            </w:r>
            <w:r>
              <w:t>系列</w:t>
            </w:r>
            <w:r>
              <w:t>FPGA</w:t>
            </w:r>
            <w:r>
              <w:t>仿真）、笔记本电源管理电路功能板</w:t>
            </w:r>
            <w:r>
              <w:lastRenderedPageBreak/>
              <w:t>（</w:t>
            </w:r>
            <w:r>
              <w:t>yoga</w:t>
            </w:r>
            <w:r>
              <w:t>系列</w:t>
            </w:r>
            <w:r>
              <w:t>FPGA</w:t>
            </w:r>
            <w:r>
              <w:t>仿真）两种功能</w:t>
            </w:r>
            <w:proofErr w:type="gramStart"/>
            <w:r>
              <w:t>板需支持</w:t>
            </w:r>
            <w:proofErr w:type="gramEnd"/>
            <w:r>
              <w:t>对其上的部分功能电路</w:t>
            </w:r>
            <w:r>
              <w:t>/</w:t>
            </w:r>
            <w:r>
              <w:t>芯片进行</w:t>
            </w:r>
            <w:r>
              <w:t>FPGA</w:t>
            </w:r>
            <w:r>
              <w:t>仿真更换。功能</w:t>
            </w:r>
            <w:proofErr w:type="gramStart"/>
            <w:r>
              <w:t>板需包括</w:t>
            </w:r>
            <w:proofErr w:type="gramEnd"/>
            <w:r>
              <w:t>母卡、被替换电路的原始子卡、</w:t>
            </w:r>
            <w:r>
              <w:t>FPGA</w:t>
            </w:r>
            <w:r>
              <w:t>替换电路子卡，两种子卡</w:t>
            </w:r>
            <w:proofErr w:type="gramStart"/>
            <w:r>
              <w:t>需支持</w:t>
            </w:r>
            <w:proofErr w:type="gramEnd"/>
            <w:r>
              <w:t>与</w:t>
            </w:r>
            <w:proofErr w:type="gramStart"/>
            <w:r>
              <w:t>功能板母卡</w:t>
            </w:r>
            <w:proofErr w:type="gramEnd"/>
            <w:r>
              <w:t>的对接。</w:t>
            </w:r>
            <w:r>
              <w:t>FPGA</w:t>
            </w:r>
            <w:r>
              <w:t>替换电路子</w:t>
            </w:r>
            <w:proofErr w:type="gramStart"/>
            <w:r>
              <w:t>卡经过</w:t>
            </w:r>
            <w:proofErr w:type="gramEnd"/>
            <w:r>
              <w:t>编程配置后可完成被替换电路的原始子卡的全部功能。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212C75C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7576C665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68A616D0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6C608CC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64C4EC7" w14:textId="77777777" w:rsidR="00BF3EFD" w:rsidRDefault="00BF3EFD">
            <w:pPr>
              <w:pStyle w:val="a0"/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8770BE0" w14:textId="77777777" w:rsidR="00BF3EFD" w:rsidRDefault="00BF3E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F3EFD" w14:paraId="0E6F63FE" w14:textId="77777777">
        <w:trPr>
          <w:trHeight w:val="510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38F8195B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/>
            <w:vAlign w:val="center"/>
          </w:tcPr>
          <w:p w14:paraId="20F190B3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智能硬件系列电路功能板实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训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套件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14:paraId="6E48F84B" w14:textId="77777777" w:rsidR="00BF3EFD" w:rsidRDefault="007B28D6" w:rsidP="0080560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型号：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IH-STM-PACK01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V2.0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）</w:t>
            </w:r>
          </w:p>
          <w:p w14:paraId="006A4A37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t>）电路功能板实</w:t>
            </w:r>
            <w:proofErr w:type="gramStart"/>
            <w:r>
              <w:t>训</w:t>
            </w:r>
            <w:proofErr w:type="gramEnd"/>
            <w:r>
              <w:t>套装</w:t>
            </w:r>
            <w:r>
              <w:t>B</w:t>
            </w:r>
            <w:r>
              <w:t>，</w:t>
            </w:r>
            <w:r>
              <w:t>25</w:t>
            </w:r>
            <w:r>
              <w:t>种，每种</w:t>
            </w:r>
            <w:r>
              <w:t>1</w:t>
            </w:r>
            <w:r>
              <w:t>块，每块配料包</w:t>
            </w:r>
            <w:r>
              <w:t>1</w:t>
            </w:r>
            <w:r>
              <w:t>包，所有板卡支持对接智能检测云平台。</w:t>
            </w:r>
          </w:p>
          <w:p w14:paraId="08ADC1ED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t>）功能板种类需包括：</w:t>
            </w:r>
          </w:p>
          <w:p w14:paraId="0CF55F71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笔记本保护隔离电路功能板（</w:t>
            </w:r>
            <w:r>
              <w:t>T</w:t>
            </w:r>
            <w:r>
              <w:t>系列）、笔记本</w:t>
            </w:r>
            <w:proofErr w:type="gramStart"/>
            <w:r>
              <w:t>硬启动</w:t>
            </w:r>
            <w:proofErr w:type="gramEnd"/>
            <w:r>
              <w:t>电路功能板（</w:t>
            </w:r>
            <w:r>
              <w:t>T</w:t>
            </w:r>
            <w:r>
              <w:t>系列）、智能液晶电视开关机复位电路功能板（智能液晶电视系列）、智能液晶电视</w:t>
            </w:r>
            <w:r>
              <w:t>CPU</w:t>
            </w:r>
            <w:r>
              <w:t>供电电路功能板（智能液晶电视系列）、智能液晶电视地面数字解调电路功能板（智能液晶电视系列）、智能液晶电视高频头电路功能板（智能液晶电视系列）、智能洗衣机处理器电路功能板（智能洗衣机系列）、智能洗衣机传感器电路功能板（智能洗衣机系列）、智能电饭煲触摸键</w:t>
            </w:r>
            <w:r>
              <w:t>电路功能板（智能电饭煲系列）、智能电饭煲</w:t>
            </w:r>
            <w:r>
              <w:t>LCD</w:t>
            </w:r>
            <w:r>
              <w:t>显示电路功能板（智能电饭煲系</w:t>
            </w:r>
            <w:r>
              <w:lastRenderedPageBreak/>
              <w:t>列）、显示器电源电路功能板、基础电路时序逻辑门</w:t>
            </w:r>
            <w:r>
              <w:rPr>
                <w:rFonts w:hint="eastAsia"/>
              </w:rPr>
              <w:t>电路搭建功能板、电子密码锁和转盘电路功能板、计时器电路功能板、台式机开机电路功能板（</w:t>
            </w:r>
            <w:r>
              <w:t>H81-</w:t>
            </w:r>
            <w:r>
              <w:t>架构）、台式机网卡电路功能板（</w:t>
            </w:r>
            <w:r>
              <w:t>H81-</w:t>
            </w:r>
            <w:r>
              <w:t>架构）、一体机</w:t>
            </w:r>
            <w:r>
              <w:t>NFC</w:t>
            </w:r>
            <w:r>
              <w:t>近距离通信接口功能板（一体机系列）、一体机低压电源板电路功能板（一体机系列）、一体机高压板电路功能板（一体机系列）、一体机马达驱动电路功能板（一体机系列）、一体机主控</w:t>
            </w:r>
            <w:r>
              <w:t>CPU</w:t>
            </w:r>
            <w:r>
              <w:t>电路功能板（一体机系列）、智能液晶电视</w:t>
            </w:r>
            <w:r>
              <w:t>HDMI</w:t>
            </w:r>
            <w:r>
              <w:t>输入电路功能板（智能液晶</w:t>
            </w:r>
            <w:r>
              <w:t>电视系列）、一体机图像</w:t>
            </w:r>
            <w:r>
              <w:t>LVDS</w:t>
            </w:r>
            <w:r>
              <w:t>高速接口电路功能板（一体机系列</w:t>
            </w:r>
            <w:r>
              <w:t>FPGA</w:t>
            </w:r>
            <w:r>
              <w:t>仿真）、一体机</w:t>
            </w:r>
            <w:r>
              <w:t>IEEE161284</w:t>
            </w:r>
            <w:r>
              <w:t>电路功能板（一体机</w:t>
            </w:r>
            <w:r>
              <w:rPr>
                <w:rFonts w:hint="eastAsia"/>
              </w:rPr>
              <w:t>系列</w:t>
            </w:r>
            <w:r>
              <w:t>FPGA</w:t>
            </w:r>
            <w:r>
              <w:t>仿真）、智能液晶电视</w:t>
            </w:r>
            <w:r>
              <w:t>CA</w:t>
            </w:r>
            <w:r>
              <w:t>卡输入电路功能板（智能液晶电视系列</w:t>
            </w:r>
            <w:r>
              <w:t>FPGA</w:t>
            </w:r>
            <w:r>
              <w:t>仿真）</w:t>
            </w:r>
          </w:p>
          <w:p w14:paraId="3C5B35D3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t>）每块功能</w:t>
            </w:r>
            <w:proofErr w:type="gramStart"/>
            <w:r>
              <w:t>板需支持</w:t>
            </w:r>
            <w:proofErr w:type="gramEnd"/>
            <w:r>
              <w:t>以下标准：</w:t>
            </w:r>
          </w:p>
          <w:p w14:paraId="122CB197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具备直流电源接口，可使功能板模拟相对应电路的工作状态；</w:t>
            </w:r>
          </w:p>
          <w:p w14:paraId="57A5A60D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可设置维修用故障点；</w:t>
            </w:r>
          </w:p>
          <w:p w14:paraId="08E02368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具备检测接口，检测针脚</w:t>
            </w:r>
            <w:r>
              <w:t>&gt;=80</w:t>
            </w:r>
            <w:r>
              <w:t>，可与智能检测云平台连接；</w:t>
            </w:r>
          </w:p>
          <w:p w14:paraId="19BB08BA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可通过智能检测平台精确定位维修故障点；</w:t>
            </w:r>
          </w:p>
          <w:p w14:paraId="374A8709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lastRenderedPageBreak/>
              <w:t>每个故障点位置可支持不少于</w:t>
            </w:r>
            <w:r>
              <w:t>100</w:t>
            </w:r>
            <w:r>
              <w:t>次的故障设定及维修的循环使用；</w:t>
            </w:r>
          </w:p>
          <w:p w14:paraId="412B3857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带有指示灯，能够查看功能板的基本状态。</w:t>
            </w:r>
          </w:p>
          <w:p w14:paraId="321D33CE" w14:textId="77777777" w:rsidR="00BF3EFD" w:rsidRDefault="007B28D6" w:rsidP="00805608">
            <w:pPr>
              <w:pStyle w:val="a0"/>
              <w:jc w:val="left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t>）一体机图像</w:t>
            </w:r>
            <w:r>
              <w:t>LVDS</w:t>
            </w:r>
            <w:r>
              <w:t>高速接口电路功能板（一体机系列</w:t>
            </w:r>
            <w:r>
              <w:t>FPGA</w:t>
            </w:r>
            <w:r>
              <w:t>仿真）、一体机</w:t>
            </w:r>
            <w:r>
              <w:t>IEEE161284</w:t>
            </w:r>
            <w:r>
              <w:t>电路功能板（一体机系列</w:t>
            </w:r>
            <w:r>
              <w:t>FPGA</w:t>
            </w:r>
            <w:r>
              <w:t>仿真）、智能液晶电视</w:t>
            </w:r>
            <w:r>
              <w:t>CA</w:t>
            </w:r>
            <w:r>
              <w:t>卡输入电路功能板（智能液晶电视系列</w:t>
            </w:r>
            <w:r>
              <w:t>FPGA</w:t>
            </w:r>
            <w:r>
              <w:t>仿真）三种功能</w:t>
            </w:r>
            <w:proofErr w:type="gramStart"/>
            <w:r>
              <w:t>板需支持</w:t>
            </w:r>
            <w:proofErr w:type="gramEnd"/>
            <w:r>
              <w:t>对其上的部分功能电路</w:t>
            </w:r>
            <w:r>
              <w:t>/</w:t>
            </w:r>
            <w:r>
              <w:t>芯片进行</w:t>
            </w:r>
            <w:r>
              <w:t>FPGA</w:t>
            </w:r>
            <w:r>
              <w:t>仿真更换。功能</w:t>
            </w:r>
            <w:proofErr w:type="gramStart"/>
            <w:r>
              <w:t>板需包括</w:t>
            </w:r>
            <w:proofErr w:type="gramEnd"/>
            <w:r>
              <w:t>母卡、被替换电路的原始子卡、</w:t>
            </w:r>
            <w:r>
              <w:t>FPGA</w:t>
            </w:r>
            <w:r>
              <w:t>替换电路子卡，两种子卡</w:t>
            </w:r>
            <w:proofErr w:type="gramStart"/>
            <w:r>
              <w:t>需支持</w:t>
            </w:r>
            <w:proofErr w:type="gramEnd"/>
            <w:r>
              <w:t>与</w:t>
            </w:r>
            <w:proofErr w:type="gramStart"/>
            <w:r>
              <w:t>功能板母卡</w:t>
            </w:r>
            <w:proofErr w:type="gramEnd"/>
            <w:r>
              <w:t>的对接。</w:t>
            </w:r>
            <w:r>
              <w:t>FPGA</w:t>
            </w:r>
            <w:r>
              <w:t>替换电路子</w:t>
            </w:r>
            <w:proofErr w:type="gramStart"/>
            <w:r>
              <w:t>卡经过</w:t>
            </w:r>
            <w:proofErr w:type="gramEnd"/>
            <w:r>
              <w:t>编程配置后可完成被替换电路的原始子卡的全部功能。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25592347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7AB3288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2DBE8025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046E523" w14:textId="77777777" w:rsidR="00BF3EFD" w:rsidRDefault="007B28D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AD10D16" w14:textId="77777777" w:rsidR="00BF3EFD" w:rsidRDefault="00BF3E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0EFE6A1" w14:textId="77777777" w:rsidR="00BF3EFD" w:rsidRDefault="00BF3E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F3EFD" w14:paraId="7252095B" w14:textId="77777777">
        <w:trPr>
          <w:trHeight w:val="552"/>
        </w:trPr>
        <w:tc>
          <w:tcPr>
            <w:tcW w:w="10773" w:type="dxa"/>
            <w:gridSpan w:val="9"/>
            <w:tcBorders>
              <w:tl2br w:val="nil"/>
              <w:tr2bl w:val="nil"/>
            </w:tcBorders>
          </w:tcPr>
          <w:p w14:paraId="625BAEE9" w14:textId="274CE10E" w:rsidR="00BF3EFD" w:rsidRDefault="00BF3EF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03DCF02" w14:textId="77777777" w:rsidR="00BF3EFD" w:rsidRDefault="00BF3EFD"/>
    <w:p w14:paraId="6E3B6FBE" w14:textId="77777777" w:rsidR="00BF3EFD" w:rsidRDefault="00BF3EFD"/>
    <w:sectPr w:rsidR="00BF3EFD">
      <w:pgSz w:w="11906" w:h="16838"/>
      <w:pgMar w:top="680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BC3E" w14:textId="77777777" w:rsidR="007B28D6" w:rsidRDefault="007B28D6" w:rsidP="00805608">
      <w:r>
        <w:separator/>
      </w:r>
    </w:p>
  </w:endnote>
  <w:endnote w:type="continuationSeparator" w:id="0">
    <w:p w14:paraId="23B4A665" w14:textId="77777777" w:rsidR="007B28D6" w:rsidRDefault="007B28D6" w:rsidP="0080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4DBF" w14:textId="77777777" w:rsidR="007B28D6" w:rsidRDefault="007B28D6" w:rsidP="00805608">
      <w:r>
        <w:separator/>
      </w:r>
    </w:p>
  </w:footnote>
  <w:footnote w:type="continuationSeparator" w:id="0">
    <w:p w14:paraId="4DD8B4D1" w14:textId="77777777" w:rsidR="007B28D6" w:rsidRDefault="007B28D6" w:rsidP="0080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wOGJlODgzMmQwMGE2ODI3OTE5NWNlZTFjY2E5MjkifQ=="/>
  </w:docVars>
  <w:rsids>
    <w:rsidRoot w:val="566B3C4A"/>
    <w:rsid w:val="007B28D6"/>
    <w:rsid w:val="00805608"/>
    <w:rsid w:val="00BF3EFD"/>
    <w:rsid w:val="00C0425F"/>
    <w:rsid w:val="21AA059B"/>
    <w:rsid w:val="3B7F216D"/>
    <w:rsid w:val="566B3C4A"/>
    <w:rsid w:val="63A1155A"/>
    <w:rsid w:val="6E0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CD6"/>
  <w15:docId w15:val="{3B394948-E6FF-49E2-8118-985B95EE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80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05608"/>
    <w:rPr>
      <w:rFonts w:ascii="等线" w:eastAsia="等线" w:hAnsi="等线" w:cs="等线"/>
      <w:kern w:val="2"/>
      <w:sz w:val="18"/>
      <w:szCs w:val="18"/>
    </w:rPr>
  </w:style>
  <w:style w:type="paragraph" w:styleId="a6">
    <w:name w:val="footer"/>
    <w:basedOn w:val="a"/>
    <w:link w:val="a7"/>
    <w:rsid w:val="0080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05608"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克元</dc:creator>
  <cp:lastModifiedBy>Lenovo</cp:lastModifiedBy>
  <cp:revision>3</cp:revision>
  <cp:lastPrinted>2022-05-24T11:51:00Z</cp:lastPrinted>
  <dcterms:created xsi:type="dcterms:W3CDTF">2022-05-09T01:01:00Z</dcterms:created>
  <dcterms:modified xsi:type="dcterms:W3CDTF">2022-05-24T11:52:00Z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F5F94728C5FB445D960FDD13FC4A3D92</vt:lpwstr>
  </property>
</Properties>
</file>