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b/>
          <w:sz w:val="28"/>
          <w:szCs w:val="28"/>
        </w:rPr>
      </w:pPr>
      <w:r>
        <w:rPr>
          <w:rFonts w:hint="eastAsia"/>
          <w:b/>
          <w:sz w:val="28"/>
          <w:szCs w:val="28"/>
        </w:rPr>
        <w:t>附件</w:t>
      </w:r>
      <w:r>
        <w:rPr>
          <w:rFonts w:hint="eastAsia"/>
          <w:b/>
          <w:sz w:val="28"/>
          <w:szCs w:val="28"/>
          <w:lang w:val="en-US" w:eastAsia="zh-CN"/>
        </w:rPr>
        <w:t>2</w:t>
      </w:r>
      <w:r>
        <w:rPr>
          <w:rFonts w:hint="eastAsia"/>
          <w:b/>
          <w:sz w:val="28"/>
          <w:szCs w:val="28"/>
        </w:rPr>
        <w:t>：</w:t>
      </w:r>
    </w:p>
    <w:p>
      <w:pPr>
        <w:widowControl/>
        <w:shd w:val="clear" w:color="auto" w:fill="FFFFFF"/>
        <w:spacing w:line="500" w:lineRule="exact"/>
        <w:jc w:val="center"/>
        <w:rPr>
          <w:rFonts w:hint="eastAsia" w:asciiTheme="minorEastAsia" w:hAnsiTheme="minorEastAsia" w:cstheme="minorEastAsia"/>
          <w:b/>
          <w:kern w:val="0"/>
          <w:sz w:val="32"/>
          <w:szCs w:val="32"/>
        </w:rPr>
      </w:pPr>
      <w:r>
        <w:rPr>
          <w:rFonts w:hint="eastAsia" w:asciiTheme="minorEastAsia" w:hAnsiTheme="minorEastAsia" w:cstheme="minorEastAsia"/>
          <w:b/>
          <w:kern w:val="0"/>
          <w:sz w:val="32"/>
          <w:szCs w:val="32"/>
          <w:lang w:val="en-US" w:eastAsia="zh-CN"/>
        </w:rPr>
        <w:t xml:space="preserve">  </w:t>
      </w:r>
      <w:r>
        <w:rPr>
          <w:rFonts w:hint="eastAsia" w:asciiTheme="minorEastAsia" w:hAnsiTheme="minorEastAsia" w:cstheme="minorEastAsia"/>
          <w:b/>
          <w:kern w:val="0"/>
          <w:sz w:val="32"/>
          <w:szCs w:val="32"/>
        </w:rPr>
        <w:t>广西交通职业技术学院2020年汽车运用与维修、</w:t>
      </w:r>
    </w:p>
    <w:p>
      <w:pPr>
        <w:spacing w:line="520" w:lineRule="exact"/>
        <w:jc w:val="center"/>
        <w:rPr>
          <w:rFonts w:hint="eastAsia" w:eastAsiaTheme="minorEastAsia"/>
          <w:b/>
          <w:sz w:val="24"/>
          <w:lang w:val="en-US" w:eastAsia="zh-CN"/>
        </w:rPr>
      </w:pPr>
      <w:r>
        <w:rPr>
          <w:rFonts w:hint="eastAsia" w:asciiTheme="minorEastAsia" w:hAnsiTheme="minorEastAsia" w:cstheme="minorEastAsia"/>
          <w:b/>
          <w:kern w:val="0"/>
          <w:sz w:val="32"/>
          <w:szCs w:val="32"/>
        </w:rPr>
        <w:t>智能网联汽车1+</w:t>
      </w:r>
      <w:r>
        <w:rPr>
          <w:rFonts w:hint="eastAsia" w:asciiTheme="minorEastAsia" w:hAnsiTheme="minorEastAsia" w:cstheme="minorEastAsia"/>
          <w:b/>
          <w:kern w:val="0"/>
          <w:sz w:val="32"/>
          <w:szCs w:val="32"/>
          <w:lang w:val="en-US" w:eastAsia="zh-CN"/>
        </w:rPr>
        <w:t>X</w:t>
      </w:r>
      <w:r>
        <w:rPr>
          <w:rFonts w:hint="eastAsia" w:asciiTheme="minorEastAsia" w:hAnsiTheme="minorEastAsia" w:cstheme="minorEastAsia"/>
          <w:b/>
          <w:kern w:val="0"/>
          <w:sz w:val="32"/>
          <w:szCs w:val="32"/>
        </w:rPr>
        <w:t>项目培训考证耗材采购</w:t>
      </w:r>
      <w:r>
        <w:rPr>
          <w:rFonts w:hint="eastAsia" w:asciiTheme="minorEastAsia" w:hAnsiTheme="minorEastAsia" w:cstheme="minorEastAsia"/>
          <w:b/>
          <w:kern w:val="0"/>
          <w:sz w:val="32"/>
          <w:szCs w:val="32"/>
          <w:lang w:val="en-US" w:eastAsia="zh-CN"/>
        </w:rPr>
        <w:t>合同</w:t>
      </w: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1"/>
        </w:numPr>
        <w:spacing w:line="520" w:lineRule="exact"/>
        <w:rPr>
          <w:b/>
          <w:sz w:val="24"/>
        </w:rPr>
      </w:pPr>
      <w:r>
        <w:rPr>
          <w:rFonts w:hint="eastAsia"/>
          <w:b/>
          <w:sz w:val="24"/>
        </w:rPr>
        <w:t>甲方向乙方所购商品（附清单）；总货款为（大写）：</w:t>
      </w:r>
    </w:p>
    <w:tbl>
      <w:tblPr>
        <w:tblStyle w:val="2"/>
        <w:tblpPr w:leftFromText="180" w:rightFromText="180" w:vertAnchor="text" w:horzAnchor="page" w:tblpX="1372" w:tblpY="192"/>
        <w:tblOverlap w:val="never"/>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92"/>
        <w:gridCol w:w="4880"/>
        <w:gridCol w:w="559"/>
        <w:gridCol w:w="53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序号</w:t>
            </w:r>
          </w:p>
        </w:tc>
        <w:tc>
          <w:tcPr>
            <w:tcW w:w="1092"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名称</w:t>
            </w:r>
          </w:p>
        </w:tc>
        <w:tc>
          <w:tcPr>
            <w:tcW w:w="4880"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lang w:val="en-US" w:eastAsia="zh-CN"/>
              </w:rPr>
              <w:t>规格或</w:t>
            </w:r>
            <w:r>
              <w:rPr>
                <w:rFonts w:hint="eastAsia" w:ascii="宋体" w:hAnsi="宋体" w:eastAsia="宋体" w:cs="宋体"/>
                <w:b/>
                <w:bCs/>
                <w:color w:val="000000"/>
                <w:kern w:val="0"/>
                <w:sz w:val="22"/>
                <w:szCs w:val="22"/>
              </w:rPr>
              <w:t>要求</w:t>
            </w:r>
          </w:p>
        </w:tc>
        <w:tc>
          <w:tcPr>
            <w:tcW w:w="559"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单位</w:t>
            </w:r>
          </w:p>
        </w:tc>
        <w:tc>
          <w:tcPr>
            <w:tcW w:w="533"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数量</w:t>
            </w:r>
          </w:p>
        </w:tc>
        <w:tc>
          <w:tcPr>
            <w:tcW w:w="1583"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吉利帝豪EV300车载充电机</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直流公插口1个；交流公插口1个；压缩机接口1个；PTC加热器接口1个；</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工作电压：210～235V。★吉利帝豪原厂纯正部件，能与教学车辆完美配套使用。</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汽车运用与维修汽车营销评估与金融保险服务技术 中级模块考评 </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物料包</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包含：工具夹、三/六件套、丝绸手套、麻布手套、计算器、A4纸、笔、座机、垃圾桶、灭火器、桌签（工位）、桌签（评委席）、标尺（卷尺）、手电筒、零件盒等。</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汽车运用与维修汽车营销评估与金融保险服务技术 中级模块考评</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资源资料包</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机动车发票1个、机动车行驶证2个、机动车登记证1个、交强险单200份、机动车商业保险单200份、交强险单正本200份、机动车商业保险单正本200份、车船税缴付凭证1个、车辆购置税完税证明1个、机动车辆保险定损报告1个、防伪易碎标签1个、机动车辆保险旧件回收单1个、身份证1个、驾驶证1个、评分表1600份（每个工位400份，内容不同）。</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蓄电池检测仪</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适应电瓶类型：适合汽车/电动车/UPS电瓶   适用电池：12V/24V    电池范围：3AH-250AH   CCA测量：支持    电压测量：支持    内阻测量：支持   电量测量：支持     LCD显示：点阵   其他功能：启动机系统启动负荷测试、MAX负载系统测试、充电系统测试</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胎压计检测仪</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胎压量程：0.21-8.27BAR（25℃）   精确度：±0.1BAR</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LCD显示屏：读数显示       内置电池：纽扣电池CR2032</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空调检测仪</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测量范围：-50℃-300℃（-58℉-572℉）     测量单位：℃/℉     分辨率：0.1℃（0.1℉）</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测试精度：±1℃ OR 2℉（0℃-80℃）±5℃   使用电池：DC1.5V AG13    整机尺寸：330mm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探杆长度：150mm     显示尺寸：21.3×8.5mm</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sz w:val="21"/>
                <w:szCs w:val="21"/>
                <w:highlight w:val="none"/>
              </w:rPr>
            </w:pPr>
            <w:r>
              <w:rPr>
                <w:rFonts w:hint="eastAsia" w:ascii="宋体" w:hAnsi="宋体" w:eastAsia="宋体" w:cs="宋体"/>
                <w:i w:val="0"/>
                <w:color w:val="000000"/>
                <w:kern w:val="0"/>
                <w:sz w:val="21"/>
                <w:szCs w:val="21"/>
                <w:highlight w:val="none"/>
                <w:u w:val="none"/>
                <w:lang w:val="en-US" w:eastAsia="zh-CN" w:bidi="ar"/>
              </w:rPr>
              <w:t>刹车片厚度尺</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型号：刹车片厚度尺    用途：测试刹车片的厚度     外观尺寸：200mm×153mm      重量：250g</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材质：金属     适用范围：测试刹车片的厚度</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刹车油含水量检测仪</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类型：油液质量检测仪      检测系统：刹车      工作温度：-10-50℃   外形尺寸：160*45*33（mm）     测试油范围：DOT3、DOT4、DOT5.1     供电电池：2节7号电池</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金属蛇皮管：190mm   设备重量：约155g（含电池）     设备具有低电提示及报警提示音功能</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汽车听诊器</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频率： 100HZ-10KHZ     音量：通过旋钮可调节     蜂鸣器功率：8W  产品的重量：240克（含电池</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电源：9V 干电池一节（大约可工作30小时）    产品的材料：ABS    工作温度：-10-55℃    包装尺寸：206×50×32 mm   探测棒：1×290 mm, 1×70 mm (长度)   探测棒材料：钢</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漆膜厚度分析仪</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范围：0-1500um     分辨率：0.1um(0-99um)；1um（100-1500um）   精度：±（1.8%um±2um）（0-500um）；±（2.2%um±2um）（500-1500um）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测量重复性：±1um 0-500um；±2um 500-1500um     仪器重现性：±1um 0-500um；±2um 500-1500um</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11</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多功能万用表</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直流电压：200mV~1000V(±0.5%+3)</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交流电压：2V~750V(±0.8%+5)</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直流电流：200μA~20A(±0.8%+10)</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交流电流：20mA~20A(±2.0%+5)</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电阻：200Ω~20MΩ(±0.8%+3)</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电容：2nF~20000μF(±2.5%+20)</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温度：(-20~1000) ℃</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支持背光显示、数据支持、低电压显示、自动关机、真有效测量、手动测量、二极管测试、三极管测试、通断报警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最大显示：1999（31/2位）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交流电压频响：（40-1k）Hz</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输入阻抗：10 MΩ</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机身尺寸：175*93*55mm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机身重量：约120g（含电池）</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录音笔</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录音模式：MP3    录音格式：MP3、WMA    录音时间：21000分钟  最大录音文件数：999</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存储卡类型：TF卡    显示屏：单色显示屏</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13</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倒计时器</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颜色分类: 1英寸4位红      功能：时间、正计时、倒计时    供电方式：插电供电        供电：220V交流电，12V适配器   尺寸：15.5*5.5*2cm    控制方式：默认遥控    安装：三脚架    显示方式: LED电子显示</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14</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平板电脑</w:t>
            </w:r>
          </w:p>
        </w:tc>
        <w:tc>
          <w:tcPr>
            <w:tcW w:w="488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品牌：华为    安卓系统：   操作系统为Android 7.0系统；输入法包括搜狗拼音、智能ABC、微软拼音、五笔；   硬件配置：    网络：无线局域网   尺寸：243mm*164mm*7.8    存储容量   128GB     系统内存    4GB以上    屏幕尺寸10.1英寸    屏幕分辨率1920x1200     屏幕比例16:10   指取设备触摸     摄像头有     前置摄像头200w     后置摄像头800w以上   多点触控支持    电池类型锂电池</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15</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摄像头</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有线无线混接监控设备，自带WiFi热点，双天线设计，WiFi更稳定；双向对讲，记录有声画面；三种存储方式，方便边拍边录。</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16</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维修三件套</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一次性汽车维修车内三件套</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批</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17</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车技通二手车鉴定评估考核系统升级服务</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考核系统以汽车后市场的广阔业界为背景，针对二手车鉴定评估领域的工作岗位，可以辅助二手车鉴定评估师出具二手车鉴定评估报告。考察考生对二手车鉴定评估基本工作情境中的基础技能的灵活掌握和实际操作水平。</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2.考核系统以二手车鉴定评估师岗位工作流程为核心，以实际工作任务为载体，以《二手车鉴定评估技术规范GB/T30323-2013》为依据，具备二手车接受委托流程、查验可交易车辆登记流程、记录车辆基本信息流程、判别事故车登记流程、鉴定技术状况登记流程、评估车辆价值流程、报告打印、报告归档等功能。系统可自动生成的单据有：二手车鉴定评估委托书、二手车鉴定评估作业表、二手车鉴定评估报告等。</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3.系统具备完善的注释提醒功能，帮助使用者能够清晰的完成鉴定评估流程过程。</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★4.系统可扫描乘用车VIN码及委托交易人身份证，识别乘用车VIN码及身份证信息并判断车辆的真实性及委托交易人的合法性。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5.系统具备二手车价格查询功能，初步判断车辆的市场价格。</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6.系统具备智能数字拍照功能，可识别车辆证件并读取信息自动录入，如：机动车登记证书、机动车行驶证、车辆购置税完税证明、车船税完税凭证的拍照录入功能。可完成车辆技术状况图片的拍照录入整理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★7.为满足考核要求，系统支持一车一考的管理模式，为实现二手车鉴定评估考核提供公平的数据基础。根据考核要求可对考生出具的鉴定评估报告及二手车鉴定评估作业流程进行系统自动评价。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★8.二手车鉴定评估作业流程：二手车接受委托流程、查验可交易车辆登记流程、记录车辆基本信息流程、判别事故车登记流程、鉴定技术状况登记流程、评估车辆价值流程六大考核模块。</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8.1二手车接受委托流程：含有二手车鉴定评估委托书，系统提供拍照扫描、信息调用等功能，考生进行二手鉴定评估委托书信息录入。同时可进行暂存、修改、查看、作废。在鉴定评估的过程中可以随时查看委托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8.2查验可交易车辆登记流程：考生可根据业务资料（车辆单证等）及系统中的可交易车辆判别表，对被评估车辆进行查验。</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8.3记录车辆基本信息流程：含有车主信息、车辆基本信息及车辆配置信息。考生可根据业务资料调用车主信息，并且通过系统中给出的车型配置库，选择被评估车辆配置信息，完成车辆基本信息的录入。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8.4判别事故车登记流程：含车体骨架检查项目表。考生可根据现场被评估车辆的情况对车辆进行查验，完成该车是否为事故车的判别。</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8.5鉴定技术状况登记流程：含车身外观检查项目表、发动机舱检查项目表、驾驶舱检查项目表、行李舱检查项目表、底盘检查项目表、启动检查项目表及路试检查项目表。考生可根据被评估车辆检查结果，对检查项目表中的描述及评分点进行填选，并且对检查部位、检查问题进行拍照，并将检查结果进行上传。根据被评估车辆所得分值判断该车技术状况等级。系统自动生成二手车鉴定评估作业表。针对每个检查项目表，可进行暂存、修改、查看、作废。</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8.6评估车辆价值流程：系统可完成二手车价值评估，考生可选择的方法包含重置成本法、现行市价法等。最终系统自动生成二手车鉴定评估报告。系统具备鉴定报告查询、打印功能，也可根据车辆信息查询已归档鉴定评估报告。</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9.为满足二手车技术鉴定需求，系统具备查询车辆维保信息功能。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10.为满足二手车技术鉴定及交易需求，系统具备查询车辆违章信息功能。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11.为满足二手车技术鉴定及交易需求，系统具备查询车辆保险信息功能。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★12. 系统支持PC端和移动端使用。移动端具备拍照、信息录入、查询以及工作引导等功能。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★13为满足考核要求，系统具备完善的考核管理模块，可进行用户管理、车型管理、车辆管理、二手车市场价格管理，还可进行基础信息管理、试题管理、考试管理、在线用户管理和查询考试日志等。</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18</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摄像机锂电池</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锂电池标准电压3.7V   充电限制电压4.2V  3000mAH</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19</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SD卡</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64g内存卡高速tf卡    摄像机内存专用卡</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蓄电池</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12V60AH   瓦尔塔(VARTA)汽车电瓶蓄电池蓝标56318</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21</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塞尺</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SATA世达塞尺14件套公英制不锈钢塞尺</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22</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护目镜</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3M护目镜透明化工实验室防护眼镜农药防风烟雾打磨粉尘飞溅平光镜</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23</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汽油</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95号</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升</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24</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无纺布</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工业无纺布200米</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卷</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工位牌等</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三个考评模块的工位牌、轮转表、横幅、复印资料等，1+x证书等级制度相关文化展示挂板，考核场地1+x相关考核工位隔断海报  考核场地1+x相关考核工位标识  根据技能证书评价标准要求定制</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批</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26</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手套</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棉布手套</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副</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27</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毛巾</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常规</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28</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数显角度仪</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SHINWA 76447 日本企鹅牌</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29</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绝缘手套</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安全牌（AN QUAN PAI）S012 12KV高压带电作业绝缘手套</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双</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30</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安全帽</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世达 SATA TF0202R V顶ABS透气安全帽</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顶</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31</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绝缘垫</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6mm厚度，高压电力10kv绝缘垫  1000*5000mm</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32</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插排</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5位分控5米线</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33</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扩音器</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APORO T9 2.4G无线领夹式加长版</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34</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头戴式云台相机</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欧达 ORDRO 头戴式运动摄像机云台相机4K云台增稳 vlog妙拍EP7</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35</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绝缘表</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福禄克（FLUKE）F1503 手持式绝缘测试仪</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36</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汽车启动充电电源</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汽车启动充电电源  采用环形节能整流变压器及大功率整流器件制造，设计有过载、过流、短路保护是节能型充电机；有多档输出电压选择，充电电流可调，适用于各种车辆的6V、12V、24V电瓶的快、慢速充电。使用单相220V电源输入  充电电流50A  起动电流750A瞬时</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37</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汽车应急启动电源</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12V汽车应急启动电源，可充电锂电池，500-1000A启动电流 安全不爆炸，免维护无自放电，有电压显示，25000MAH左右，最大充电电流20A</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38</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机油</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汽车专用 5W-30SN</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桶</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39</w:t>
            </w:r>
          </w:p>
        </w:tc>
        <w:tc>
          <w:tcPr>
            <w:tcW w:w="109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火花塞</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三菱4G63、大众汽车专用</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支</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40</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白纸</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A4晨光打印纸70g</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包</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41</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计算器</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计算器</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42</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水性笔</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0.5mm、红色20支、黑色30支</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支</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43</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铅笔</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HB</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支</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44</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抽纸</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本色纸</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包</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45</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夹板</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A4塑料</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46</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电池</w:t>
            </w:r>
          </w:p>
        </w:tc>
        <w:tc>
          <w:tcPr>
            <w:tcW w:w="48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万用表专用9V</w:t>
            </w:r>
          </w:p>
        </w:tc>
        <w:tc>
          <w:tcPr>
            <w:tcW w:w="55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5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583"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22" w:type="dxa"/>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总货款合计（元）</w:t>
            </w:r>
          </w:p>
        </w:tc>
        <w:tc>
          <w:tcPr>
            <w:tcW w:w="2116" w:type="dxa"/>
            <w:gridSpan w:val="2"/>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438" w:type="dxa"/>
            <w:gridSpan w:val="6"/>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总货款大写：</w:t>
            </w:r>
          </w:p>
          <w:p>
            <w:pPr>
              <w:keepNext w:val="0"/>
              <w:keepLines w:val="0"/>
              <w:widowControl/>
              <w:suppressLineNumbers w:val="0"/>
              <w:jc w:val="center"/>
              <w:textAlignment w:val="center"/>
              <w:rPr>
                <w:rFonts w:hint="eastAsia" w:ascii="宋体" w:hAnsi="宋体" w:eastAsia="宋体" w:cs="宋体"/>
                <w:sz w:val="21"/>
                <w:szCs w:val="21"/>
                <w:highlight w:val="none"/>
              </w:rPr>
            </w:pPr>
          </w:p>
        </w:tc>
      </w:tr>
    </w:tbl>
    <w:p>
      <w:pPr>
        <w:widowControl w:val="0"/>
        <w:numPr>
          <w:ilvl w:val="0"/>
          <w:numId w:val="0"/>
        </w:numPr>
        <w:spacing w:line="520" w:lineRule="exact"/>
        <w:jc w:val="both"/>
        <w:rPr>
          <w:rFonts w:hint="eastAsia"/>
          <w:b/>
          <w:sz w:val="24"/>
        </w:rPr>
      </w:pPr>
    </w:p>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color w:val="auto"/>
          <w:sz w:val="24"/>
        </w:rPr>
        <w:t>1、乙方确认中标商后</w:t>
      </w:r>
      <w:r>
        <w:rPr>
          <w:rFonts w:hint="eastAsia"/>
          <w:b/>
          <w:color w:val="auto"/>
          <w:sz w:val="24"/>
          <w:lang w:val="en-US" w:eastAsia="zh-CN"/>
        </w:rPr>
        <w:t>25</w:t>
      </w:r>
      <w:r>
        <w:rPr>
          <w:rFonts w:hint="eastAsia"/>
          <w:b/>
          <w:color w:val="auto"/>
          <w:sz w:val="24"/>
          <w:lang w:eastAsia="zh-CN"/>
        </w:rPr>
        <w:t>天</w:t>
      </w:r>
      <w:r>
        <w:rPr>
          <w:rFonts w:hint="eastAsia"/>
          <w:b/>
          <w:color w:val="auto"/>
          <w:sz w:val="24"/>
        </w:rPr>
        <w:t>内向甲方提供所购全部货物及开具相等金额的正式</w:t>
      </w:r>
      <w:bookmarkStart w:id="0" w:name="_GoBack"/>
      <w:bookmarkEnd w:id="0"/>
      <w:r>
        <w:rPr>
          <w:rFonts w:hint="eastAsia"/>
          <w:b/>
          <w:color w:val="auto"/>
          <w:sz w:val="24"/>
        </w:rPr>
        <w:t>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2"/>
        </w:numPr>
        <w:spacing w:line="520" w:lineRule="exact"/>
        <w:ind w:firstLine="435"/>
        <w:rPr>
          <w:b/>
          <w:sz w:val="24"/>
        </w:rPr>
      </w:pPr>
      <w:r>
        <w:rPr>
          <w:rFonts w:hint="eastAsia"/>
          <w:b/>
          <w:sz w:val="24"/>
        </w:rPr>
        <w:t>本项目无预付款，乙方将货物运达甲方约定交货地点，由甲方验收合格后，甲方应在十五个工作日内一次性支付完本合同货款。</w:t>
      </w:r>
    </w:p>
    <w:p>
      <w:pPr>
        <w:numPr>
          <w:ilvl w:val="0"/>
          <w:numId w:val="2"/>
        </w:numPr>
        <w:spacing w:line="520" w:lineRule="exact"/>
        <w:ind w:firstLine="435"/>
        <w:rPr>
          <w:b/>
          <w:color w:val="auto"/>
          <w:sz w:val="24"/>
        </w:rPr>
      </w:pPr>
      <w:r>
        <w:rPr>
          <w:rFonts w:hint="eastAsia"/>
          <w:b/>
          <w:color w:val="auto"/>
          <w:sz w:val="24"/>
        </w:rPr>
        <w:t>乙方所交的货物品种、型号、规格、技术参数、质量不符合合同所规定的规格型号标准的，甲方有权拒付合同货款，直至乙方更换货物让甲方满意为止，但作逾期交货处理。若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color w:val="000000"/>
          <w:sz w:val="24"/>
          <w:szCs w:val="24"/>
        </w:rPr>
      </w:pPr>
      <w:r>
        <w:rPr>
          <w:rFonts w:hint="eastAsia"/>
          <w:b/>
          <w:sz w:val="24"/>
        </w:rPr>
        <w:t>三、本合同一式</w:t>
      </w:r>
      <w:r>
        <w:rPr>
          <w:rFonts w:hint="eastAsia"/>
          <w:b/>
          <w:sz w:val="24"/>
          <w:lang w:val="en-US" w:eastAsia="zh-CN"/>
        </w:rPr>
        <w:t>陆</w:t>
      </w:r>
      <w:r>
        <w:rPr>
          <w:rFonts w:hint="eastAsia"/>
          <w:b/>
          <w:sz w:val="24"/>
        </w:rPr>
        <w:t>份，具有同等法律效力，甲</w:t>
      </w:r>
      <w:r>
        <w:rPr>
          <w:rFonts w:hint="eastAsia"/>
          <w:b/>
          <w:sz w:val="24"/>
          <w:lang w:val="en-US" w:eastAsia="zh-CN"/>
        </w:rPr>
        <w:t>方肆份，</w:t>
      </w:r>
      <w:r>
        <w:rPr>
          <w:rFonts w:hint="eastAsia"/>
          <w:b/>
          <w:sz w:val="24"/>
        </w:rPr>
        <w:t>乙方</w:t>
      </w:r>
      <w:r>
        <w:rPr>
          <w:rFonts w:hint="eastAsia"/>
          <w:b/>
          <w:sz w:val="24"/>
          <w:lang w:val="en-US" w:eastAsia="zh-CN"/>
        </w:rPr>
        <w:t>贰</w:t>
      </w:r>
      <w:r>
        <w:rPr>
          <w:rFonts w:hint="eastAsia"/>
          <w:b/>
          <w:sz w:val="24"/>
        </w:rPr>
        <w:t>份，经甲乙双方签字盖章后生效。未</w:t>
      </w:r>
      <w:r>
        <w:rPr>
          <w:rFonts w:hint="eastAsia"/>
          <w:b/>
          <w:color w:val="auto"/>
          <w:sz w:val="24"/>
        </w:rPr>
        <w:t>尽事宜，友好协商解决，协商不成的，双方同意由</w:t>
      </w:r>
      <w:r>
        <w:rPr>
          <w:rFonts w:hint="eastAsia"/>
          <w:b/>
          <w:color w:val="auto"/>
          <w:sz w:val="24"/>
          <w:lang w:eastAsia="zh-CN"/>
        </w:rPr>
        <w:t>甲方</w:t>
      </w:r>
      <w:r>
        <w:rPr>
          <w:rFonts w:hint="eastAsia"/>
          <w:b/>
          <w:color w:val="auto"/>
          <w:sz w:val="24"/>
        </w:rPr>
        <w:t>所在地的</w:t>
      </w:r>
      <w:r>
        <w:rPr>
          <w:rFonts w:hint="eastAsia"/>
          <w:b/>
          <w:color w:val="auto"/>
          <w:sz w:val="24"/>
          <w:lang w:eastAsia="zh-CN"/>
        </w:rPr>
        <w:t>南宁市兴宁区</w:t>
      </w:r>
      <w:r>
        <w:rPr>
          <w:rFonts w:hint="eastAsia"/>
          <w:b/>
          <w:color w:val="auto"/>
          <w:sz w:val="24"/>
        </w:rPr>
        <w:t>人民法院管辖。</w:t>
      </w:r>
    </w:p>
    <w:p>
      <w:pPr>
        <w:spacing w:line="520" w:lineRule="exact"/>
        <w:rPr>
          <w:rFonts w:hint="eastAsia"/>
          <w:b/>
          <w:sz w:val="24"/>
        </w:rPr>
      </w:pPr>
    </w:p>
    <w:p>
      <w:pPr>
        <w:spacing w:line="520" w:lineRule="exact"/>
        <w:rPr>
          <w:rFonts w:hint="eastAsia"/>
          <w:b/>
          <w:sz w:val="24"/>
        </w:rPr>
      </w:pPr>
    </w:p>
    <w:p>
      <w:pPr>
        <w:spacing w:line="520" w:lineRule="exact"/>
        <w:rPr>
          <w:rFonts w:hint="eastAsia"/>
          <w:b/>
          <w:sz w:val="24"/>
        </w:rPr>
      </w:pPr>
      <w:r>
        <w:rPr>
          <w:rFonts w:hint="eastAsia"/>
          <w:b/>
          <w:sz w:val="24"/>
        </w:rPr>
        <w:t xml:space="preserve">甲方（章）：广西交通职业技术学院          </w:t>
      </w:r>
      <w:r>
        <w:rPr>
          <w:rFonts w:hint="eastAsia"/>
          <w:b/>
          <w:sz w:val="24"/>
          <w:lang w:val="en-US" w:eastAsia="zh-CN"/>
        </w:rPr>
        <w:t xml:space="preserve">  </w:t>
      </w:r>
      <w:r>
        <w:rPr>
          <w:rFonts w:hint="eastAsia"/>
          <w:b/>
          <w:sz w:val="24"/>
        </w:rPr>
        <w:t>乙方（章）：</w:t>
      </w:r>
    </w:p>
    <w:p>
      <w:pPr>
        <w:spacing w:line="520" w:lineRule="exact"/>
        <w:rPr>
          <w:rFonts w:hint="eastAsia"/>
          <w:b/>
          <w:sz w:val="24"/>
        </w:rPr>
      </w:pPr>
      <w:r>
        <w:rPr>
          <w:rFonts w:hint="eastAsia"/>
          <w:b/>
          <w:sz w:val="24"/>
        </w:rPr>
        <w:t>地址： 南宁市</w:t>
      </w:r>
      <w:r>
        <w:rPr>
          <w:rFonts w:hint="eastAsia"/>
          <w:b/>
          <w:sz w:val="24"/>
          <w:lang w:val="en-US" w:eastAsia="zh-CN"/>
        </w:rPr>
        <w:t>昆仑大道1258号</w:t>
      </w:r>
      <w:r>
        <w:rPr>
          <w:rFonts w:hint="eastAsia"/>
          <w:b/>
          <w:sz w:val="24"/>
        </w:rPr>
        <w:t xml:space="preserve">                 地址：</w:t>
      </w:r>
    </w:p>
    <w:p>
      <w:pPr>
        <w:spacing w:line="520" w:lineRule="exact"/>
        <w:rPr>
          <w:rFonts w:hint="eastAsia"/>
          <w:b/>
          <w:sz w:val="24"/>
        </w:rPr>
      </w:pPr>
      <w:r>
        <w:rPr>
          <w:rFonts w:hint="eastAsia"/>
          <w:b/>
          <w:sz w:val="24"/>
        </w:rPr>
        <w:t>甲方</w:t>
      </w:r>
      <w:r>
        <w:rPr>
          <w:rFonts w:hint="eastAsia"/>
          <w:b/>
          <w:sz w:val="24"/>
          <w:lang w:val="en-US" w:eastAsia="zh-CN"/>
        </w:rPr>
        <w:t>法人签字</w:t>
      </w:r>
      <w:r>
        <w:rPr>
          <w:rFonts w:hint="eastAsia"/>
          <w:b/>
          <w:sz w:val="24"/>
        </w:rPr>
        <w:t>：</w:t>
      </w:r>
    </w:p>
    <w:p>
      <w:pPr>
        <w:spacing w:line="520" w:lineRule="exact"/>
        <w:rPr>
          <w:rFonts w:hint="eastAsia"/>
          <w:b/>
          <w:sz w:val="24"/>
        </w:rPr>
      </w:pPr>
      <w:r>
        <w:rPr>
          <w:rFonts w:hint="eastAsia"/>
          <w:b/>
          <w:sz w:val="24"/>
          <w:lang w:val="en-US" w:eastAsia="zh-CN"/>
        </w:rPr>
        <w:t>（或委托代理人签字）</w:t>
      </w:r>
      <w:r>
        <w:rPr>
          <w:rFonts w:hint="eastAsia"/>
          <w:b/>
          <w:sz w:val="24"/>
        </w:rPr>
        <w:t>：                   乙方代表：</w:t>
      </w:r>
    </w:p>
    <w:p>
      <w:pPr>
        <w:spacing w:line="520" w:lineRule="exact"/>
        <w:rPr>
          <w:rFonts w:hint="eastAsia"/>
          <w:b/>
          <w:sz w:val="24"/>
        </w:rPr>
      </w:pPr>
      <w:r>
        <w:rPr>
          <w:rFonts w:hint="eastAsia"/>
          <w:b/>
          <w:sz w:val="24"/>
        </w:rPr>
        <w:t xml:space="preserve">电话： 0771-5650355  </w:t>
      </w:r>
      <w:r>
        <w:rPr>
          <w:rFonts w:hint="eastAsia"/>
          <w:b/>
          <w:sz w:val="24"/>
          <w:lang w:val="en-US" w:eastAsia="zh-CN"/>
        </w:rPr>
        <w:t xml:space="preserve">               </w:t>
      </w:r>
      <w:r>
        <w:rPr>
          <w:rFonts w:hint="eastAsia"/>
          <w:b/>
          <w:sz w:val="24"/>
        </w:rPr>
        <w:t xml:space="preserve">         电话：</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 xml:space="preserve"> 开户名称：</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开户银行：</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 xml:space="preserve"> 银行账号：</w:t>
      </w:r>
    </w:p>
    <w:p>
      <w:pPr>
        <w:spacing w:line="520" w:lineRule="exact"/>
        <w:rPr>
          <w:rFonts w:hint="eastAsia"/>
          <w:b/>
          <w:sz w:val="24"/>
        </w:rPr>
      </w:pPr>
    </w:p>
    <w:p>
      <w:pPr>
        <w:spacing w:line="520" w:lineRule="exact"/>
        <w:rPr>
          <w:rFonts w:hint="eastAsia"/>
          <w:b/>
          <w:sz w:val="24"/>
        </w:rPr>
      </w:pPr>
      <w:r>
        <w:rPr>
          <w:rFonts w:hint="eastAsia"/>
          <w:b/>
          <w:sz w:val="24"/>
        </w:rPr>
        <w:t xml:space="preserve">  合同签订时间：            年      月      日</w:t>
      </w:r>
    </w:p>
    <w:p>
      <w:pPr>
        <w:spacing w:line="520" w:lineRule="exact"/>
        <w:ind w:firstLine="241" w:firstLineChars="100"/>
        <w:rPr>
          <w:rFonts w:hint="eastAsia"/>
          <w:b/>
          <w:sz w:val="24"/>
          <w:lang w:eastAsia="zh-CN"/>
        </w:rPr>
      </w:pPr>
      <w:r>
        <w:rPr>
          <w:rFonts w:hint="eastAsia"/>
          <w:b/>
          <w:sz w:val="24"/>
          <w:lang w:eastAsia="zh-CN"/>
        </w:rPr>
        <w:t>合同签订地点：</w:t>
      </w:r>
    </w:p>
    <w:p/>
    <w:p>
      <w:pPr>
        <w:spacing w:line="500" w:lineRule="exact"/>
        <w:rPr>
          <w:rFonts w:ascii="华文仿宋" w:hAnsi="华文仿宋" w:eastAsia="华文仿宋" w:cs="华文仿宋"/>
          <w:sz w:val="30"/>
          <w:szCs w:val="30"/>
        </w:rPr>
      </w:pPr>
    </w:p>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09E8"/>
    <w:rsid w:val="0648635B"/>
    <w:rsid w:val="0ADB0DF7"/>
    <w:rsid w:val="0F1A09E8"/>
    <w:rsid w:val="0F1F4D27"/>
    <w:rsid w:val="33666CEA"/>
    <w:rsid w:val="38CA4B26"/>
    <w:rsid w:val="40C8426A"/>
    <w:rsid w:val="40E23443"/>
    <w:rsid w:val="6EAA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2020-10-20T02:03:00Z</dcterms:created>
  <dc:creator>李克元</dc:creator>
  <cp:lastModifiedBy>李克元</cp:lastModifiedBy>
  <dcterms:modified xsi:type="dcterms:W3CDTF">2020-11-10T06:54:03Z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