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cs="宋体"/>
          <w:b/>
          <w:bCs/>
          <w:color w:val="000000"/>
          <w:spacing w:val="20"/>
          <w:kern w:val="0"/>
          <w:sz w:val="36"/>
          <w:szCs w:val="36"/>
        </w:rPr>
      </w:pPr>
      <w:r>
        <w:rPr>
          <w:rFonts w:hint="eastAsia" w:ascii="宋体" w:hAnsi="宋体" w:cs="宋体"/>
          <w:b/>
          <w:bCs/>
          <w:color w:val="000000"/>
          <w:spacing w:val="20"/>
          <w:kern w:val="0"/>
          <w:sz w:val="36"/>
          <w:szCs w:val="36"/>
        </w:rPr>
        <w:t>附件2</w:t>
      </w:r>
    </w:p>
    <w:p>
      <w:pPr>
        <w:widowControl/>
        <w:spacing w:line="600" w:lineRule="exact"/>
        <w:jc w:val="center"/>
        <w:textAlignment w:val="baseline"/>
        <w:rPr>
          <w:rFonts w:ascii="宋体" w:hAnsi="宋体" w:cs="宋体"/>
          <w:b/>
          <w:bCs/>
          <w:color w:val="000000"/>
          <w:spacing w:val="20"/>
          <w:kern w:val="0"/>
          <w:sz w:val="36"/>
          <w:szCs w:val="36"/>
        </w:rPr>
      </w:pPr>
      <w:r>
        <w:rPr>
          <w:rFonts w:hint="eastAsia" w:ascii="宋体" w:hAnsi="宋体" w:cs="宋体"/>
          <w:b/>
          <w:bCs/>
          <w:color w:val="000000"/>
          <w:spacing w:val="20"/>
          <w:kern w:val="0"/>
          <w:sz w:val="36"/>
          <w:szCs w:val="36"/>
        </w:rPr>
        <w:t>2022年度“提质培优”标志性成果培育</w:t>
      </w:r>
    </w:p>
    <w:p>
      <w:pPr>
        <w:widowControl/>
        <w:spacing w:line="600" w:lineRule="exact"/>
        <w:jc w:val="center"/>
        <w:textAlignment w:val="baseline"/>
        <w:rPr>
          <w:rFonts w:cs="宋体"/>
          <w:color w:val="000000"/>
          <w:kern w:val="0"/>
        </w:rPr>
      </w:pPr>
      <w:r>
        <w:rPr>
          <w:rFonts w:hint="eastAsia" w:ascii="宋体" w:hAnsi="宋体" w:cs="宋体"/>
          <w:b/>
          <w:bCs/>
          <w:color w:val="000000"/>
          <w:spacing w:val="20"/>
          <w:kern w:val="0"/>
          <w:sz w:val="36"/>
          <w:szCs w:val="36"/>
        </w:rPr>
        <w:t>咨询指导服务采购的</w:t>
      </w:r>
      <w:bookmarkStart w:id="2" w:name="_GoBack"/>
      <w:r>
        <w:rPr>
          <w:rFonts w:hint="eastAsia" w:ascii="宋体" w:hAnsi="宋体" w:cs="宋体"/>
          <w:b/>
          <w:bCs/>
          <w:color w:val="000000"/>
          <w:spacing w:val="20"/>
          <w:kern w:val="0"/>
          <w:sz w:val="36"/>
          <w:szCs w:val="36"/>
        </w:rPr>
        <w:t>合作协议</w:t>
      </w:r>
    </w:p>
    <w:bookmarkEnd w:id="2"/>
    <w:p>
      <w:pPr>
        <w:snapToGrid w:val="0"/>
        <w:spacing w:line="360" w:lineRule="auto"/>
        <w:ind w:right="480"/>
        <w:rPr>
          <w:rFonts w:ascii="宋体" w:hAnsi="宋体" w:cs="宋体"/>
          <w:bCs/>
          <w:color w:val="000000"/>
          <w:sz w:val="24"/>
        </w:rPr>
      </w:pPr>
    </w:p>
    <w:p>
      <w:pPr>
        <w:snapToGrid w:val="0"/>
        <w:spacing w:line="360" w:lineRule="auto"/>
        <w:ind w:right="480"/>
        <w:rPr>
          <w:rFonts w:ascii="宋体" w:hAnsi="宋体" w:cs="宋体"/>
          <w:bCs/>
          <w:color w:val="000000"/>
          <w:sz w:val="24"/>
        </w:rPr>
      </w:pPr>
      <w:r>
        <w:rPr>
          <w:rFonts w:hint="eastAsia" w:ascii="宋体" w:hAnsi="宋体" w:cs="宋体"/>
          <w:bCs/>
          <w:color w:val="000000"/>
          <w:sz w:val="24"/>
        </w:rPr>
        <w:t xml:space="preserve">合同编号： </w:t>
      </w:r>
    </w:p>
    <w:p>
      <w:pPr>
        <w:wordWrap w:val="0"/>
        <w:snapToGrid w:val="0"/>
        <w:spacing w:line="360" w:lineRule="auto"/>
        <w:rPr>
          <w:rFonts w:ascii="宋体" w:hAnsi="宋体" w:cs="宋体"/>
          <w:color w:val="000000"/>
          <w:sz w:val="24"/>
          <w:u w:val="single"/>
        </w:rPr>
      </w:pPr>
      <w:r>
        <w:rPr>
          <w:rFonts w:hint="eastAsia" w:ascii="宋体" w:hAnsi="宋体" w:cs="宋体"/>
          <w:color w:val="000000"/>
          <w:sz w:val="24"/>
        </w:rPr>
        <w:t>采购单位（甲方）：</w:t>
      </w:r>
    </w:p>
    <w:p>
      <w:pPr>
        <w:snapToGrid w:val="0"/>
        <w:spacing w:line="360" w:lineRule="auto"/>
        <w:rPr>
          <w:rFonts w:ascii="宋体" w:hAnsi="宋体" w:cs="宋体"/>
          <w:bCs/>
          <w:color w:val="000000"/>
          <w:sz w:val="24"/>
          <w:u w:val="single"/>
        </w:rPr>
      </w:pPr>
      <w:r>
        <w:rPr>
          <w:rFonts w:hint="eastAsia" w:ascii="宋体" w:hAnsi="宋体" w:cs="宋体"/>
          <w:color w:val="000000"/>
          <w:sz w:val="24"/>
        </w:rPr>
        <w:t>供应商（乙方）：</w:t>
      </w:r>
    </w:p>
    <w:p>
      <w:pPr>
        <w:snapToGrid w:val="0"/>
        <w:spacing w:line="360" w:lineRule="auto"/>
        <w:rPr>
          <w:rFonts w:ascii="宋体" w:hAnsi="宋体" w:cs="宋体"/>
          <w:color w:val="000000"/>
          <w:sz w:val="24"/>
          <w:u w:val="single"/>
        </w:rPr>
      </w:pPr>
      <w:r>
        <w:rPr>
          <w:rFonts w:hint="eastAsia" w:ascii="宋体" w:hAnsi="宋体" w:cs="宋体"/>
          <w:color w:val="000000"/>
          <w:sz w:val="24"/>
        </w:rPr>
        <w:t>签订地点：</w:t>
      </w:r>
      <w:r>
        <w:rPr>
          <w:rFonts w:hint="eastAsia" w:ascii="宋体" w:hAnsi="宋体" w:cs="宋体"/>
          <w:color w:val="000000"/>
          <w:sz w:val="24"/>
          <w:u w:val="single"/>
        </w:rPr>
        <w:t>广西南宁市</w:t>
      </w:r>
    </w:p>
    <w:p>
      <w:pPr>
        <w:snapToGrid w:val="0"/>
        <w:spacing w:line="360" w:lineRule="auto"/>
        <w:rPr>
          <w:rFonts w:ascii="宋体" w:hAnsi="宋体" w:cs="宋体"/>
          <w:bCs/>
          <w:color w:val="000000"/>
          <w:kern w:val="0"/>
          <w:sz w:val="24"/>
        </w:rPr>
      </w:pPr>
      <w:r>
        <w:rPr>
          <w:rFonts w:hint="eastAsia" w:ascii="宋体" w:hAnsi="宋体" w:cs="宋体"/>
          <w:color w:val="000000"/>
          <w:sz w:val="24"/>
        </w:rPr>
        <w:t>签订时间：</w:t>
      </w:r>
      <w:r>
        <w:rPr>
          <w:rFonts w:ascii="宋体" w:hAnsi="宋体" w:cs="宋体"/>
          <w:color w:val="000000"/>
          <w:sz w:val="24"/>
          <w:u w:val="single"/>
        </w:rPr>
        <w:t>202</w:t>
      </w:r>
      <w:r>
        <w:rPr>
          <w:rFonts w:hint="eastAsia" w:ascii="宋体" w:hAnsi="宋体" w:cs="宋体"/>
          <w:color w:val="000000"/>
          <w:sz w:val="24"/>
          <w:u w:val="single"/>
        </w:rPr>
        <w:t>2年3月  日</w:t>
      </w:r>
    </w:p>
    <w:p>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根据《中华人民共和国政府采购法》、《民法典》等法律、法规规定，按照竞争性磋商采购文件（以下简称“采购文件”）及成交人的竞争性磋商响应文件（以下简称“响应文件”）规定条款和成交人承诺，甲乙双方签订本合同。</w:t>
      </w:r>
    </w:p>
    <w:p>
      <w:pPr>
        <w:snapToGrid w:val="0"/>
        <w:spacing w:line="360" w:lineRule="auto"/>
        <w:ind w:firstLine="482" w:firstLineChars="200"/>
        <w:rPr>
          <w:rFonts w:ascii="宋体" w:hAnsi="宋体" w:cs="宋体"/>
          <w:b/>
          <w:bCs/>
          <w:color w:val="000000"/>
          <w:sz w:val="24"/>
        </w:rPr>
      </w:pPr>
      <w:r>
        <w:rPr>
          <w:rFonts w:hint="eastAsia" w:ascii="宋体" w:hAnsi="宋体" w:cs="宋体"/>
          <w:b/>
          <w:bCs/>
          <w:color w:val="000000"/>
          <w:sz w:val="24"/>
        </w:rPr>
        <w:t>第一条合同标的</w:t>
      </w:r>
    </w:p>
    <w:p>
      <w:pPr>
        <w:snapToGrid w:val="0"/>
        <w:spacing w:line="360" w:lineRule="auto"/>
        <w:ind w:firstLine="480" w:firstLineChars="200"/>
        <w:rPr>
          <w:rFonts w:ascii="宋体" w:hAnsi="宋体" w:cs="宋体"/>
          <w:bCs/>
          <w:color w:val="000000"/>
          <w:sz w:val="24"/>
          <w:u w:val="single"/>
        </w:rPr>
      </w:pPr>
      <w:r>
        <w:rPr>
          <w:rFonts w:ascii="宋体" w:hAnsi="宋体" w:cs="宋体"/>
          <w:bCs/>
          <w:color w:val="000000"/>
          <w:sz w:val="24"/>
        </w:rPr>
        <w:t>1.</w:t>
      </w:r>
      <w:r>
        <w:rPr>
          <w:rFonts w:hint="eastAsia" w:ascii="宋体" w:hAnsi="宋体" w:cs="宋体"/>
          <w:bCs/>
          <w:color w:val="000000"/>
          <w:sz w:val="24"/>
        </w:rPr>
        <w:t>服务一览表：</w:t>
      </w:r>
    </w:p>
    <w:p>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详见“项目采购需求”、应答文件、成交人“商务响应表”、“技术响应表”、“服务承诺书”等。</w:t>
      </w:r>
    </w:p>
    <w:p>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第二条 合同价款</w:t>
      </w:r>
    </w:p>
    <w:p>
      <w:pPr>
        <w:snapToGrid w:val="0"/>
        <w:spacing w:line="360" w:lineRule="auto"/>
        <w:ind w:firstLine="480" w:firstLineChars="200"/>
        <w:rPr>
          <w:rFonts w:ascii="宋体" w:hAnsi="宋体" w:cs="宋体"/>
          <w:color w:val="000000"/>
          <w:sz w:val="24"/>
        </w:rPr>
      </w:pPr>
      <w:r>
        <w:rPr>
          <w:rFonts w:ascii="宋体" w:hAnsi="宋体" w:cs="宋体"/>
          <w:color w:val="000000"/>
          <w:sz w:val="24"/>
        </w:rPr>
        <w:t>1.</w:t>
      </w:r>
      <w:r>
        <w:rPr>
          <w:rFonts w:hint="eastAsia" w:ascii="宋体" w:hAnsi="宋体" w:cs="宋体"/>
          <w:color w:val="000000"/>
          <w:sz w:val="24"/>
        </w:rPr>
        <w:t>合同价款：</w:t>
      </w:r>
    </w:p>
    <w:p>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（1</w:t>
      </w:r>
      <w:r>
        <w:rPr>
          <w:rFonts w:ascii="宋体" w:hAnsi="宋体" w:cs="宋体"/>
          <w:color w:val="000000"/>
          <w:sz w:val="24"/>
        </w:rPr>
        <w:t>）</w:t>
      </w:r>
      <w:r>
        <w:rPr>
          <w:rFonts w:hint="eastAsia" w:ascii="宋体" w:hAnsi="宋体" w:cs="宋体"/>
          <w:color w:val="000000"/>
          <w:sz w:val="24"/>
        </w:rPr>
        <w:t>合同金额暂定</w:t>
      </w:r>
      <w:r>
        <w:rPr>
          <w:rFonts w:hint="eastAsia" w:ascii="宋体" w:hAnsi="宋体" w:cs="宋体"/>
          <w:color w:val="000000"/>
          <w:sz w:val="24"/>
        </w:rPr>
        <w:t>为：人民币</w:t>
      </w:r>
      <w:r>
        <w:rPr>
          <w:rFonts w:hint="eastAsia" w:ascii="宋体" w:hAnsi="宋体" w:cs="宋体"/>
          <w:color w:val="000000"/>
          <w:sz w:val="24"/>
          <w:u w:val="single"/>
        </w:rPr>
        <w:t xml:space="preserve">        </w:t>
      </w:r>
      <w:r>
        <w:rPr>
          <w:rFonts w:hint="eastAsia" w:ascii="宋体" w:hAnsi="宋体" w:cs="宋体"/>
          <w:color w:val="000000"/>
          <w:sz w:val="24"/>
        </w:rPr>
        <w:t>元整（    ￥）。</w:t>
      </w:r>
    </w:p>
    <w:p>
      <w:pPr>
        <w:snapToGrid w:val="0"/>
        <w:spacing w:line="360" w:lineRule="auto"/>
        <w:ind w:firstLine="480" w:firstLineChars="200"/>
        <w:rPr>
          <w:rFonts w:ascii="宋体" w:hAnsi="宋体" w:cs="宋体"/>
          <w:color w:val="000000"/>
          <w:sz w:val="24"/>
        </w:rPr>
      </w:pPr>
    </w:p>
    <w:p>
      <w:pPr>
        <w:snapToGrid w:val="0"/>
        <w:spacing w:line="360" w:lineRule="auto"/>
        <w:ind w:firstLine="480" w:firstLineChars="200"/>
        <w:rPr>
          <w:rFonts w:ascii="宋体" w:hAnsi="宋体" w:cs="宋体"/>
          <w:color w:val="000000"/>
          <w:sz w:val="24"/>
        </w:rPr>
      </w:pPr>
    </w:p>
    <w:p>
      <w:pPr>
        <w:snapToGrid w:val="0"/>
        <w:spacing w:line="360" w:lineRule="auto"/>
        <w:ind w:firstLine="480" w:firstLineChars="200"/>
        <w:rPr>
          <w:rFonts w:ascii="宋体" w:hAnsi="宋体" w:cs="宋体"/>
          <w:color w:val="000000"/>
          <w:sz w:val="24"/>
        </w:rPr>
      </w:pPr>
    </w:p>
    <w:p>
      <w:pPr>
        <w:snapToGrid w:val="0"/>
        <w:spacing w:line="360" w:lineRule="auto"/>
        <w:ind w:firstLine="480" w:firstLineChars="200"/>
        <w:rPr>
          <w:rFonts w:ascii="宋体" w:hAnsi="宋体" w:cs="宋体"/>
          <w:color w:val="000000"/>
          <w:sz w:val="24"/>
        </w:rPr>
      </w:pPr>
    </w:p>
    <w:p>
      <w:pPr>
        <w:snapToGrid w:val="0"/>
        <w:spacing w:line="360" w:lineRule="auto"/>
        <w:ind w:firstLine="480" w:firstLineChars="200"/>
        <w:rPr>
          <w:rFonts w:ascii="宋体" w:hAnsi="宋体" w:cs="宋体"/>
          <w:color w:val="000000"/>
          <w:sz w:val="24"/>
        </w:rPr>
      </w:pPr>
    </w:p>
    <w:p>
      <w:pPr>
        <w:snapToGrid w:val="0"/>
        <w:spacing w:line="360" w:lineRule="auto"/>
        <w:ind w:firstLine="480" w:firstLineChars="200"/>
        <w:rPr>
          <w:rFonts w:ascii="宋体" w:hAnsi="宋体" w:cs="宋体"/>
          <w:color w:val="000000"/>
          <w:sz w:val="24"/>
        </w:rPr>
      </w:pPr>
    </w:p>
    <w:p>
      <w:pPr>
        <w:snapToGrid w:val="0"/>
        <w:spacing w:line="360" w:lineRule="auto"/>
        <w:ind w:firstLine="480" w:firstLineChars="200"/>
        <w:rPr>
          <w:rFonts w:ascii="宋体" w:hAnsi="宋体" w:cs="宋体"/>
          <w:color w:val="000000"/>
          <w:sz w:val="24"/>
        </w:rPr>
      </w:pPr>
    </w:p>
    <w:p>
      <w:pPr>
        <w:snapToGrid w:val="0"/>
        <w:spacing w:line="360" w:lineRule="auto"/>
        <w:ind w:firstLine="480" w:firstLineChars="200"/>
        <w:rPr>
          <w:rFonts w:ascii="宋体" w:hAnsi="宋体" w:cs="宋体"/>
          <w:color w:val="000000"/>
          <w:sz w:val="24"/>
        </w:rPr>
      </w:pPr>
    </w:p>
    <w:p>
      <w:pPr>
        <w:snapToGrid w:val="0"/>
        <w:spacing w:line="360" w:lineRule="auto"/>
        <w:ind w:firstLine="480" w:firstLineChars="200"/>
        <w:rPr>
          <w:rFonts w:ascii="宋体" w:hAnsi="宋体" w:cs="宋体"/>
          <w:color w:val="000000"/>
          <w:sz w:val="24"/>
        </w:rPr>
      </w:pPr>
    </w:p>
    <w:p>
      <w:pPr>
        <w:snapToGrid w:val="0"/>
        <w:spacing w:line="360" w:lineRule="auto"/>
        <w:ind w:firstLine="480" w:firstLineChars="200"/>
        <w:rPr>
          <w:rFonts w:ascii="宋体" w:hAnsi="宋体" w:cs="宋体"/>
          <w:color w:val="000000"/>
          <w:sz w:val="24"/>
        </w:rPr>
      </w:pPr>
    </w:p>
    <w:p>
      <w:pPr>
        <w:snapToGrid w:val="0"/>
        <w:spacing w:line="360" w:lineRule="auto"/>
        <w:ind w:firstLine="480" w:firstLineChars="200"/>
        <w:rPr>
          <w:rFonts w:ascii="宋体" w:hAnsi="宋体" w:cs="宋体"/>
          <w:color w:val="auto"/>
          <w:sz w:val="24"/>
        </w:rPr>
      </w:pPr>
      <w:r>
        <w:rPr>
          <w:rFonts w:hint="eastAsia" w:ascii="宋体" w:hAnsi="宋体" w:cs="宋体"/>
          <w:color w:val="000000"/>
          <w:sz w:val="24"/>
        </w:rPr>
        <w:t>(</w:t>
      </w:r>
      <w:r>
        <w:rPr>
          <w:rFonts w:ascii="宋体" w:hAnsi="宋体" w:cs="宋体"/>
          <w:color w:val="000000"/>
          <w:sz w:val="24"/>
        </w:rPr>
        <w:t>2)</w:t>
      </w:r>
      <w:r>
        <w:rPr>
          <w:rFonts w:hint="eastAsia" w:ascii="宋体" w:hAnsi="宋体" w:cs="宋体"/>
          <w:color w:val="000000"/>
          <w:sz w:val="24"/>
        </w:rPr>
        <w:t>合同单价：</w:t>
      </w:r>
    </w:p>
    <w:tbl>
      <w:tblPr>
        <w:tblStyle w:val="10"/>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
        <w:gridCol w:w="3243"/>
        <w:gridCol w:w="936"/>
        <w:gridCol w:w="1189"/>
        <w:gridCol w:w="2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497" w:type="dxa"/>
            <w:vAlign w:val="center"/>
          </w:tcPr>
          <w:p>
            <w:pPr>
              <w:spacing w:line="360" w:lineRule="exact"/>
              <w:jc w:val="center"/>
              <w:rPr>
                <w:rFonts w:ascii="黑体" w:hAnsi="黑体" w:eastAsia="黑体" w:cs="仿宋"/>
                <w:color w:val="auto"/>
                <w:sz w:val="28"/>
                <w:szCs w:val="28"/>
              </w:rPr>
            </w:pPr>
            <w:r>
              <w:rPr>
                <w:rFonts w:hint="eastAsia" w:ascii="黑体" w:hAnsi="黑体" w:eastAsia="黑体" w:cs="仿宋"/>
                <w:color w:val="auto"/>
                <w:sz w:val="28"/>
                <w:szCs w:val="28"/>
              </w:rPr>
              <w:t>序号</w:t>
            </w:r>
          </w:p>
        </w:tc>
        <w:tc>
          <w:tcPr>
            <w:tcW w:w="3243" w:type="dxa"/>
            <w:vAlign w:val="center"/>
          </w:tcPr>
          <w:p>
            <w:pPr>
              <w:spacing w:line="360" w:lineRule="exact"/>
              <w:jc w:val="center"/>
              <w:rPr>
                <w:rFonts w:ascii="黑体" w:hAnsi="黑体" w:eastAsia="黑体" w:cs="仿宋"/>
                <w:color w:val="auto"/>
                <w:sz w:val="28"/>
                <w:szCs w:val="28"/>
              </w:rPr>
            </w:pPr>
            <w:r>
              <w:rPr>
                <w:rFonts w:hint="eastAsia" w:ascii="黑体" w:hAnsi="黑体" w:eastAsia="黑体" w:cs="仿宋"/>
                <w:color w:val="auto"/>
                <w:sz w:val="28"/>
                <w:szCs w:val="28"/>
              </w:rPr>
              <w:t>服务内容</w:t>
            </w:r>
          </w:p>
        </w:tc>
        <w:tc>
          <w:tcPr>
            <w:tcW w:w="936" w:type="dxa"/>
            <w:vAlign w:val="center"/>
          </w:tcPr>
          <w:p>
            <w:pPr>
              <w:spacing w:line="360" w:lineRule="exact"/>
              <w:jc w:val="center"/>
              <w:rPr>
                <w:rFonts w:ascii="黑体" w:hAnsi="黑体" w:eastAsia="黑体" w:cs="仿宋"/>
                <w:color w:val="auto"/>
                <w:sz w:val="28"/>
                <w:szCs w:val="28"/>
              </w:rPr>
            </w:pPr>
            <w:r>
              <w:rPr>
                <w:rFonts w:hint="eastAsia" w:ascii="黑体" w:hAnsi="黑体" w:eastAsia="黑体" w:cs="仿宋"/>
                <w:color w:val="auto"/>
                <w:sz w:val="28"/>
                <w:szCs w:val="28"/>
              </w:rPr>
              <w:t>数量</w:t>
            </w:r>
            <w:r>
              <w:rPr>
                <w:rFonts w:hint="eastAsia" w:ascii="楷体" w:hAnsi="楷体" w:eastAsia="楷体" w:cs="仿宋"/>
                <w:color w:val="auto"/>
                <w:sz w:val="24"/>
                <w:szCs w:val="24"/>
              </w:rPr>
              <w:t>（项）</w:t>
            </w:r>
          </w:p>
        </w:tc>
        <w:tc>
          <w:tcPr>
            <w:tcW w:w="1189" w:type="dxa"/>
            <w:vAlign w:val="center"/>
          </w:tcPr>
          <w:p>
            <w:pPr>
              <w:spacing w:line="360" w:lineRule="exact"/>
              <w:jc w:val="center"/>
              <w:rPr>
                <w:rFonts w:ascii="黑体" w:hAnsi="黑体" w:eastAsia="黑体" w:cs="仿宋"/>
                <w:color w:val="auto"/>
                <w:sz w:val="28"/>
                <w:szCs w:val="28"/>
              </w:rPr>
            </w:pPr>
            <w:r>
              <w:rPr>
                <w:rFonts w:hint="eastAsia" w:ascii="黑体" w:hAnsi="黑体" w:eastAsia="黑体" w:cs="仿宋"/>
                <w:color w:val="auto"/>
                <w:sz w:val="28"/>
                <w:szCs w:val="28"/>
              </w:rPr>
              <w:t>单价</w:t>
            </w:r>
          </w:p>
          <w:p>
            <w:pPr>
              <w:spacing w:line="360" w:lineRule="exact"/>
              <w:jc w:val="center"/>
              <w:rPr>
                <w:rFonts w:ascii="黑体" w:hAnsi="黑体" w:eastAsia="黑体" w:cs="仿宋"/>
                <w:color w:val="auto"/>
                <w:sz w:val="28"/>
                <w:szCs w:val="28"/>
              </w:rPr>
            </w:pPr>
            <w:r>
              <w:rPr>
                <w:rFonts w:hint="eastAsia" w:ascii="楷体" w:hAnsi="楷体" w:eastAsia="楷体" w:cs="仿宋"/>
                <w:color w:val="auto"/>
                <w:sz w:val="24"/>
                <w:szCs w:val="24"/>
              </w:rPr>
              <w:t>（万元）</w:t>
            </w:r>
          </w:p>
        </w:tc>
        <w:tc>
          <w:tcPr>
            <w:tcW w:w="2932" w:type="dxa"/>
            <w:vAlign w:val="center"/>
          </w:tcPr>
          <w:p>
            <w:pPr>
              <w:spacing w:line="360" w:lineRule="exact"/>
              <w:jc w:val="center"/>
              <w:rPr>
                <w:rFonts w:ascii="黑体" w:hAnsi="黑体" w:eastAsia="黑体" w:cs="仿宋"/>
                <w:color w:val="auto"/>
                <w:sz w:val="28"/>
                <w:szCs w:val="28"/>
              </w:rPr>
            </w:pPr>
            <w:r>
              <w:rPr>
                <w:rFonts w:hint="eastAsia" w:ascii="黑体" w:hAnsi="黑体" w:eastAsia="黑体" w:cs="仿宋"/>
                <w:color w:val="auto"/>
                <w:sz w:val="28"/>
                <w:szCs w:val="28"/>
              </w:rPr>
              <w:t>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vAlign w:val="center"/>
          </w:tcPr>
          <w:p>
            <w:pPr>
              <w:spacing w:line="500" w:lineRule="exact"/>
              <w:jc w:val="center"/>
              <w:rPr>
                <w:rFonts w:ascii="仿宋" w:hAnsi="仿宋" w:eastAsia="仿宋" w:cs="仿宋"/>
                <w:color w:val="auto"/>
                <w:sz w:val="28"/>
                <w:szCs w:val="28"/>
              </w:rPr>
            </w:pPr>
            <w:r>
              <w:rPr>
                <w:rFonts w:hint="eastAsia" w:ascii="仿宋" w:hAnsi="仿宋" w:eastAsia="仿宋" w:cs="仿宋"/>
                <w:color w:val="auto"/>
                <w:sz w:val="28"/>
                <w:szCs w:val="28"/>
              </w:rPr>
              <w:t>1</w:t>
            </w:r>
          </w:p>
        </w:tc>
        <w:tc>
          <w:tcPr>
            <w:tcW w:w="3243" w:type="dxa"/>
            <w:vAlign w:val="center"/>
          </w:tcPr>
          <w:p>
            <w:pPr>
              <w:spacing w:line="320" w:lineRule="exact"/>
              <w:rPr>
                <w:rFonts w:ascii="仿宋" w:hAnsi="仿宋" w:eastAsia="仿宋" w:cs="仿宋"/>
                <w:color w:val="auto"/>
                <w:sz w:val="24"/>
                <w:szCs w:val="24"/>
              </w:rPr>
            </w:pPr>
            <w:r>
              <w:rPr>
                <w:rFonts w:hint="eastAsia" w:ascii="仿宋" w:hAnsi="仿宋" w:eastAsia="仿宋" w:cs="仿宋"/>
                <w:color w:val="auto"/>
                <w:sz w:val="24"/>
                <w:szCs w:val="24"/>
              </w:rPr>
              <w:t>对学校</w:t>
            </w:r>
            <w:r>
              <w:rPr>
                <w:rFonts w:hint="eastAsia" w:ascii="仿宋" w:hAnsi="仿宋" w:eastAsia="仿宋" w:cs="宋体"/>
                <w:color w:val="auto"/>
                <w:kern w:val="0"/>
                <w:sz w:val="24"/>
                <w:szCs w:val="24"/>
              </w:rPr>
              <w:t>4个标志性</w:t>
            </w:r>
            <w:r>
              <w:rPr>
                <w:rFonts w:ascii="仿宋" w:hAnsi="仿宋" w:eastAsia="仿宋" w:cs="宋体"/>
                <w:color w:val="auto"/>
                <w:kern w:val="0"/>
                <w:sz w:val="24"/>
                <w:szCs w:val="24"/>
              </w:rPr>
              <w:t>成果</w:t>
            </w:r>
            <w:r>
              <w:rPr>
                <w:rFonts w:hint="eastAsia" w:ascii="仿宋" w:hAnsi="仿宋" w:eastAsia="仿宋" w:cs="宋体"/>
                <w:color w:val="auto"/>
                <w:kern w:val="0"/>
                <w:sz w:val="24"/>
                <w:szCs w:val="24"/>
              </w:rPr>
              <w:t>的校内培育和申报阶段，全程开展咨询指导服务。</w:t>
            </w:r>
          </w:p>
        </w:tc>
        <w:tc>
          <w:tcPr>
            <w:tcW w:w="936" w:type="dxa"/>
            <w:vAlign w:val="center"/>
          </w:tcPr>
          <w:p>
            <w:pPr>
              <w:spacing w:line="320" w:lineRule="exact"/>
              <w:jc w:val="center"/>
              <w:rPr>
                <w:rFonts w:ascii="仿宋" w:hAnsi="仿宋" w:eastAsia="仿宋" w:cs="仿宋"/>
                <w:color w:val="auto"/>
                <w:sz w:val="24"/>
                <w:szCs w:val="24"/>
              </w:rPr>
            </w:pPr>
            <w:r>
              <w:rPr>
                <w:rFonts w:ascii="仿宋" w:hAnsi="仿宋" w:eastAsia="仿宋" w:cs="仿宋"/>
                <w:color w:val="auto"/>
                <w:sz w:val="24"/>
                <w:szCs w:val="24"/>
              </w:rPr>
              <w:t>1</w:t>
            </w:r>
          </w:p>
        </w:tc>
        <w:tc>
          <w:tcPr>
            <w:tcW w:w="1189" w:type="dxa"/>
            <w:vAlign w:val="center"/>
          </w:tcPr>
          <w:p>
            <w:pPr>
              <w:spacing w:line="320" w:lineRule="exact"/>
              <w:jc w:val="center"/>
              <w:rPr>
                <w:rFonts w:ascii="仿宋" w:hAnsi="仿宋" w:eastAsia="仿宋" w:cs="仿宋"/>
                <w:color w:val="auto"/>
                <w:sz w:val="24"/>
                <w:szCs w:val="24"/>
              </w:rPr>
            </w:pPr>
          </w:p>
        </w:tc>
        <w:tc>
          <w:tcPr>
            <w:tcW w:w="2932" w:type="dxa"/>
            <w:vAlign w:val="center"/>
          </w:tcPr>
          <w:p>
            <w:pPr>
              <w:spacing w:line="320" w:lineRule="exact"/>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vAlign w:val="center"/>
          </w:tcPr>
          <w:p>
            <w:pPr>
              <w:spacing w:line="500" w:lineRule="exact"/>
              <w:jc w:val="center"/>
              <w:rPr>
                <w:rFonts w:ascii="仿宋" w:hAnsi="仿宋" w:eastAsia="仿宋" w:cs="仿宋"/>
                <w:color w:val="auto"/>
                <w:sz w:val="28"/>
                <w:szCs w:val="28"/>
              </w:rPr>
            </w:pPr>
            <w:r>
              <w:rPr>
                <w:rFonts w:hint="eastAsia" w:ascii="仿宋" w:hAnsi="仿宋" w:eastAsia="仿宋" w:cs="仿宋"/>
                <w:color w:val="auto"/>
                <w:sz w:val="28"/>
                <w:szCs w:val="28"/>
              </w:rPr>
              <w:t>2</w:t>
            </w:r>
          </w:p>
        </w:tc>
        <w:tc>
          <w:tcPr>
            <w:tcW w:w="3243" w:type="dxa"/>
            <w:vAlign w:val="center"/>
          </w:tcPr>
          <w:p>
            <w:pPr>
              <w:spacing w:line="320" w:lineRule="exact"/>
              <w:rPr>
                <w:rFonts w:ascii="仿宋" w:hAnsi="仿宋" w:eastAsia="仿宋" w:cs="仿宋"/>
                <w:color w:val="auto"/>
                <w:sz w:val="24"/>
                <w:szCs w:val="24"/>
              </w:rPr>
            </w:pPr>
            <w:r>
              <w:rPr>
                <w:rFonts w:hint="eastAsia" w:ascii="仿宋" w:hAnsi="仿宋" w:eastAsia="仿宋" w:cs="宋体"/>
                <w:color w:val="auto"/>
                <w:kern w:val="0"/>
                <w:sz w:val="24"/>
                <w:szCs w:val="24"/>
              </w:rPr>
              <w:t>在学校参加自治区层面的标志性成果培育和遴选阶段，全程开展咨询指导服务。</w:t>
            </w:r>
          </w:p>
        </w:tc>
        <w:tc>
          <w:tcPr>
            <w:tcW w:w="936" w:type="dxa"/>
            <w:vAlign w:val="center"/>
          </w:tcPr>
          <w:p>
            <w:pPr>
              <w:spacing w:line="320" w:lineRule="exact"/>
              <w:jc w:val="center"/>
              <w:rPr>
                <w:rFonts w:ascii="仿宋" w:hAnsi="仿宋" w:eastAsia="仿宋" w:cs="仿宋"/>
                <w:color w:val="auto"/>
                <w:sz w:val="24"/>
                <w:szCs w:val="24"/>
              </w:rPr>
            </w:pPr>
            <w:r>
              <w:rPr>
                <w:rFonts w:hint="eastAsia" w:ascii="仿宋" w:hAnsi="仿宋" w:eastAsia="仿宋" w:cs="仿宋"/>
                <w:color w:val="auto"/>
                <w:sz w:val="24"/>
                <w:szCs w:val="24"/>
              </w:rPr>
              <w:t>2</w:t>
            </w:r>
          </w:p>
        </w:tc>
        <w:tc>
          <w:tcPr>
            <w:tcW w:w="1189" w:type="dxa"/>
            <w:vAlign w:val="center"/>
          </w:tcPr>
          <w:p>
            <w:pPr>
              <w:spacing w:line="320" w:lineRule="exact"/>
              <w:jc w:val="center"/>
              <w:rPr>
                <w:rFonts w:ascii="仿宋" w:hAnsi="仿宋" w:eastAsia="仿宋" w:cs="仿宋"/>
                <w:color w:val="auto"/>
                <w:sz w:val="24"/>
                <w:szCs w:val="24"/>
              </w:rPr>
            </w:pPr>
          </w:p>
        </w:tc>
        <w:tc>
          <w:tcPr>
            <w:tcW w:w="2932" w:type="dxa"/>
            <w:vAlign w:val="center"/>
          </w:tcPr>
          <w:p>
            <w:pPr>
              <w:spacing w:line="320" w:lineRule="exact"/>
              <w:jc w:val="left"/>
              <w:rPr>
                <w:rFonts w:ascii="仿宋" w:hAnsi="仿宋" w:eastAsia="仿宋" w:cs="仿宋"/>
                <w:color w:val="auto"/>
                <w:sz w:val="24"/>
                <w:szCs w:val="24"/>
              </w:rPr>
            </w:pPr>
            <w:r>
              <w:rPr>
                <w:rFonts w:hint="eastAsia" w:ascii="仿宋" w:hAnsi="仿宋" w:eastAsia="仿宋" w:cs="宋体"/>
                <w:color w:val="auto"/>
                <w:kern w:val="0"/>
                <w:sz w:val="28"/>
                <w:szCs w:val="28"/>
              </w:rPr>
              <w:t>要求：获得国家级标志性成果自治区级推荐资格。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vAlign w:val="center"/>
          </w:tcPr>
          <w:p>
            <w:pPr>
              <w:spacing w:line="500" w:lineRule="exact"/>
              <w:jc w:val="center"/>
              <w:rPr>
                <w:rFonts w:ascii="仿宋" w:hAnsi="仿宋" w:eastAsia="仿宋" w:cs="仿宋"/>
                <w:color w:val="auto"/>
                <w:sz w:val="28"/>
                <w:szCs w:val="28"/>
              </w:rPr>
            </w:pPr>
            <w:r>
              <w:rPr>
                <w:rFonts w:hint="eastAsia" w:ascii="仿宋" w:hAnsi="仿宋" w:eastAsia="仿宋" w:cs="仿宋"/>
                <w:color w:val="auto"/>
                <w:sz w:val="28"/>
                <w:szCs w:val="28"/>
              </w:rPr>
              <w:t>3</w:t>
            </w:r>
          </w:p>
        </w:tc>
        <w:tc>
          <w:tcPr>
            <w:tcW w:w="3243" w:type="dxa"/>
            <w:vAlign w:val="center"/>
          </w:tcPr>
          <w:p>
            <w:pPr>
              <w:spacing w:line="320" w:lineRule="exact"/>
              <w:rPr>
                <w:rFonts w:ascii="仿宋" w:hAnsi="仿宋" w:eastAsia="仿宋" w:cs="仿宋"/>
                <w:color w:val="auto"/>
                <w:sz w:val="24"/>
                <w:szCs w:val="24"/>
              </w:rPr>
            </w:pPr>
            <w:r>
              <w:rPr>
                <w:rFonts w:hint="eastAsia" w:ascii="仿宋" w:hAnsi="仿宋" w:eastAsia="仿宋" w:cs="宋体"/>
                <w:color w:val="auto"/>
                <w:kern w:val="0"/>
                <w:sz w:val="24"/>
                <w:szCs w:val="24"/>
              </w:rPr>
              <w:t>在学校参加国家级层面的标志性成果培育和遴选阶段，全程开展咨询指导服务。</w:t>
            </w:r>
          </w:p>
        </w:tc>
        <w:tc>
          <w:tcPr>
            <w:tcW w:w="936" w:type="dxa"/>
            <w:vAlign w:val="center"/>
          </w:tcPr>
          <w:p>
            <w:pPr>
              <w:spacing w:line="320" w:lineRule="exact"/>
              <w:jc w:val="center"/>
              <w:rPr>
                <w:rFonts w:ascii="仿宋" w:hAnsi="仿宋" w:eastAsia="仿宋" w:cs="仿宋"/>
                <w:color w:val="auto"/>
                <w:sz w:val="24"/>
                <w:szCs w:val="24"/>
              </w:rPr>
            </w:pPr>
            <w:r>
              <w:rPr>
                <w:rFonts w:hint="eastAsia" w:ascii="仿宋" w:hAnsi="仿宋" w:eastAsia="仿宋" w:cs="仿宋"/>
                <w:color w:val="auto"/>
                <w:sz w:val="24"/>
                <w:szCs w:val="24"/>
              </w:rPr>
              <w:t>2</w:t>
            </w:r>
          </w:p>
        </w:tc>
        <w:tc>
          <w:tcPr>
            <w:tcW w:w="1189" w:type="dxa"/>
            <w:vAlign w:val="center"/>
          </w:tcPr>
          <w:p>
            <w:pPr>
              <w:spacing w:line="320" w:lineRule="exact"/>
              <w:jc w:val="center"/>
              <w:rPr>
                <w:rFonts w:ascii="仿宋" w:hAnsi="仿宋" w:eastAsia="仿宋" w:cs="仿宋"/>
                <w:color w:val="auto"/>
                <w:sz w:val="24"/>
                <w:szCs w:val="24"/>
              </w:rPr>
            </w:pPr>
          </w:p>
        </w:tc>
        <w:tc>
          <w:tcPr>
            <w:tcW w:w="2932" w:type="dxa"/>
            <w:vAlign w:val="center"/>
          </w:tcPr>
          <w:p>
            <w:pPr>
              <w:spacing w:line="320" w:lineRule="exact"/>
              <w:jc w:val="left"/>
              <w:rPr>
                <w:rFonts w:ascii="仿宋" w:hAnsi="仿宋" w:eastAsia="仿宋" w:cs="仿宋"/>
                <w:color w:val="auto"/>
                <w:sz w:val="24"/>
                <w:szCs w:val="24"/>
              </w:rPr>
            </w:pPr>
            <w:r>
              <w:rPr>
                <w:rFonts w:hint="eastAsia" w:ascii="仿宋" w:hAnsi="仿宋" w:eastAsia="仿宋" w:cs="仿宋"/>
                <w:color w:val="auto"/>
                <w:sz w:val="28"/>
                <w:szCs w:val="28"/>
              </w:rPr>
              <w:t>要求：获得国家级标志性成果国家会评资格。</w:t>
            </w:r>
          </w:p>
          <w:p>
            <w:pP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497" w:type="dxa"/>
            <w:vMerge w:val="restart"/>
            <w:vAlign w:val="center"/>
          </w:tcPr>
          <w:p>
            <w:pPr>
              <w:spacing w:line="500" w:lineRule="exact"/>
              <w:jc w:val="center"/>
              <w:rPr>
                <w:rFonts w:ascii="仿宋" w:hAnsi="仿宋" w:eastAsia="仿宋" w:cs="仿宋"/>
                <w:color w:val="auto"/>
                <w:sz w:val="28"/>
                <w:szCs w:val="28"/>
              </w:rPr>
            </w:pPr>
            <w:r>
              <w:rPr>
                <w:rFonts w:hint="eastAsia" w:ascii="仿宋" w:hAnsi="仿宋" w:eastAsia="仿宋" w:cs="仿宋"/>
                <w:color w:val="auto"/>
                <w:sz w:val="28"/>
                <w:szCs w:val="28"/>
              </w:rPr>
              <w:t>4</w:t>
            </w:r>
          </w:p>
        </w:tc>
        <w:tc>
          <w:tcPr>
            <w:tcW w:w="3243" w:type="dxa"/>
            <w:vMerge w:val="restart"/>
            <w:vAlign w:val="center"/>
          </w:tcPr>
          <w:p>
            <w:pPr>
              <w:spacing w:line="320" w:lineRule="exact"/>
              <w:rPr>
                <w:rFonts w:ascii="仿宋" w:hAnsi="仿宋" w:eastAsia="仿宋" w:cs="仿宋"/>
                <w:color w:val="auto"/>
                <w:sz w:val="24"/>
                <w:szCs w:val="24"/>
              </w:rPr>
            </w:pPr>
            <w:r>
              <w:rPr>
                <w:rFonts w:hint="eastAsia" w:ascii="仿宋" w:hAnsi="仿宋" w:eastAsia="仿宋" w:cs="宋体"/>
                <w:color w:val="auto"/>
                <w:kern w:val="0"/>
                <w:sz w:val="24"/>
                <w:szCs w:val="24"/>
              </w:rPr>
              <w:t>在学校获得国家级标志性成果后，对成果的总结、推广和使用开展全程咨询指导服务。</w:t>
            </w:r>
          </w:p>
        </w:tc>
        <w:tc>
          <w:tcPr>
            <w:tcW w:w="936" w:type="dxa"/>
            <w:vMerge w:val="restart"/>
            <w:vAlign w:val="center"/>
          </w:tcPr>
          <w:p>
            <w:pPr>
              <w:spacing w:line="320" w:lineRule="exact"/>
              <w:jc w:val="center"/>
              <w:rPr>
                <w:rFonts w:ascii="仿宋" w:hAnsi="仿宋" w:eastAsia="仿宋" w:cs="仿宋"/>
                <w:color w:val="auto"/>
                <w:sz w:val="24"/>
                <w:szCs w:val="24"/>
              </w:rPr>
            </w:pPr>
            <w:r>
              <w:rPr>
                <w:rFonts w:ascii="仿宋" w:hAnsi="仿宋" w:eastAsia="仿宋" w:cs="仿宋"/>
                <w:color w:val="auto"/>
                <w:sz w:val="24"/>
                <w:szCs w:val="24"/>
              </w:rPr>
              <w:t>2</w:t>
            </w:r>
          </w:p>
        </w:tc>
        <w:tc>
          <w:tcPr>
            <w:tcW w:w="1189" w:type="dxa"/>
            <w:vAlign w:val="center"/>
          </w:tcPr>
          <w:p>
            <w:pPr>
              <w:spacing w:line="320" w:lineRule="exact"/>
              <w:jc w:val="center"/>
              <w:rPr>
                <w:rFonts w:ascii="仿宋" w:hAnsi="仿宋" w:eastAsia="仿宋" w:cs="仿宋"/>
                <w:color w:val="auto"/>
                <w:sz w:val="24"/>
                <w:szCs w:val="24"/>
              </w:rPr>
            </w:pPr>
          </w:p>
        </w:tc>
        <w:tc>
          <w:tcPr>
            <w:tcW w:w="2932" w:type="dxa"/>
            <w:vAlign w:val="center"/>
          </w:tcPr>
          <w:p>
            <w:pPr>
              <w:spacing w:line="320" w:lineRule="exact"/>
              <w:jc w:val="left"/>
              <w:rPr>
                <w:rFonts w:ascii="仿宋" w:hAnsi="仿宋" w:eastAsia="仿宋" w:cs="仿宋"/>
                <w:color w:val="auto"/>
                <w:sz w:val="24"/>
                <w:szCs w:val="24"/>
              </w:rPr>
            </w:pPr>
            <w:r>
              <w:rPr>
                <w:rFonts w:hint="eastAsia" w:ascii="仿宋" w:hAnsi="仿宋" w:eastAsia="仿宋" w:cs="仿宋"/>
                <w:color w:val="auto"/>
                <w:sz w:val="28"/>
                <w:szCs w:val="28"/>
              </w:rPr>
              <w:t>要求：获得</w:t>
            </w:r>
            <w:r>
              <w:rPr>
                <w:rFonts w:hint="eastAsia" w:ascii="仿宋" w:hAnsi="仿宋" w:eastAsia="仿宋" w:cs="宋体"/>
                <w:color w:val="auto"/>
                <w:kern w:val="0"/>
                <w:sz w:val="28"/>
                <w:szCs w:val="28"/>
              </w:rPr>
              <w:t>国家级最低级标志性成果。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497" w:type="dxa"/>
            <w:vMerge w:val="continue"/>
            <w:vAlign w:val="center"/>
          </w:tcPr>
          <w:p>
            <w:pPr>
              <w:spacing w:line="500" w:lineRule="exact"/>
              <w:jc w:val="center"/>
              <w:rPr>
                <w:rFonts w:ascii="仿宋" w:hAnsi="仿宋" w:eastAsia="仿宋" w:cs="仿宋"/>
                <w:color w:val="auto"/>
                <w:sz w:val="28"/>
                <w:szCs w:val="28"/>
              </w:rPr>
            </w:pPr>
          </w:p>
        </w:tc>
        <w:tc>
          <w:tcPr>
            <w:tcW w:w="3243" w:type="dxa"/>
            <w:vMerge w:val="continue"/>
            <w:vAlign w:val="center"/>
          </w:tcPr>
          <w:p>
            <w:pPr>
              <w:spacing w:line="320" w:lineRule="exact"/>
              <w:rPr>
                <w:rFonts w:ascii="仿宋" w:hAnsi="仿宋" w:eastAsia="仿宋" w:cs="仿宋"/>
                <w:color w:val="auto"/>
                <w:sz w:val="24"/>
                <w:szCs w:val="24"/>
              </w:rPr>
            </w:pPr>
          </w:p>
        </w:tc>
        <w:tc>
          <w:tcPr>
            <w:tcW w:w="936" w:type="dxa"/>
            <w:vMerge w:val="continue"/>
            <w:vAlign w:val="center"/>
          </w:tcPr>
          <w:p>
            <w:pPr>
              <w:spacing w:line="320" w:lineRule="exact"/>
              <w:jc w:val="center"/>
              <w:rPr>
                <w:rFonts w:ascii="仿宋" w:hAnsi="仿宋" w:eastAsia="仿宋" w:cs="仿宋"/>
                <w:color w:val="auto"/>
                <w:sz w:val="24"/>
                <w:szCs w:val="24"/>
              </w:rPr>
            </w:pPr>
          </w:p>
        </w:tc>
        <w:tc>
          <w:tcPr>
            <w:tcW w:w="1189" w:type="dxa"/>
            <w:vAlign w:val="center"/>
          </w:tcPr>
          <w:p>
            <w:pPr>
              <w:spacing w:line="320" w:lineRule="exact"/>
              <w:jc w:val="center"/>
              <w:rPr>
                <w:rFonts w:ascii="仿宋" w:hAnsi="仿宋" w:eastAsia="仿宋" w:cs="仿宋"/>
                <w:color w:val="auto"/>
                <w:sz w:val="24"/>
                <w:szCs w:val="24"/>
              </w:rPr>
            </w:pPr>
          </w:p>
        </w:tc>
        <w:tc>
          <w:tcPr>
            <w:tcW w:w="2932" w:type="dxa"/>
            <w:vAlign w:val="center"/>
          </w:tcPr>
          <w:p>
            <w:pPr>
              <w:spacing w:line="320" w:lineRule="exact"/>
              <w:jc w:val="left"/>
              <w:rPr>
                <w:rFonts w:ascii="仿宋" w:hAnsi="仿宋" w:eastAsia="仿宋" w:cs="仿宋"/>
                <w:color w:val="auto"/>
                <w:sz w:val="24"/>
                <w:szCs w:val="24"/>
              </w:rPr>
            </w:pPr>
            <w:r>
              <w:rPr>
                <w:rFonts w:hint="eastAsia" w:ascii="仿宋" w:hAnsi="仿宋" w:eastAsia="仿宋" w:cs="仿宋"/>
                <w:color w:val="auto"/>
                <w:sz w:val="28"/>
                <w:szCs w:val="28"/>
              </w:rPr>
              <w:t>要求：获得</w:t>
            </w:r>
            <w:r>
              <w:rPr>
                <w:rFonts w:hint="eastAsia" w:ascii="仿宋" w:hAnsi="仿宋" w:eastAsia="仿宋" w:cs="宋体"/>
                <w:color w:val="auto"/>
                <w:kern w:val="0"/>
                <w:sz w:val="28"/>
                <w:szCs w:val="28"/>
              </w:rPr>
              <w:t>国家级次高级标志性成果.</w:t>
            </w:r>
          </w:p>
        </w:tc>
      </w:tr>
    </w:tbl>
    <w:p>
      <w:pPr>
        <w:snapToGrid w:val="0"/>
        <w:spacing w:line="360" w:lineRule="auto"/>
        <w:rPr>
          <w:rFonts w:ascii="宋体" w:hAnsi="宋体" w:cs="宋体"/>
          <w:color w:val="auto"/>
          <w:sz w:val="24"/>
        </w:rPr>
      </w:pP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3</w:t>
      </w:r>
      <w:r>
        <w:rPr>
          <w:rFonts w:ascii="宋体" w:hAnsi="宋体" w:cs="宋体"/>
          <w:color w:val="auto"/>
          <w:sz w:val="24"/>
        </w:rPr>
        <w:t>.</w:t>
      </w:r>
      <w:r>
        <w:rPr>
          <w:rFonts w:hint="eastAsia" w:ascii="宋体" w:hAnsi="宋体" w:cs="宋体"/>
          <w:color w:val="auto"/>
          <w:sz w:val="24"/>
        </w:rPr>
        <w:t>合同价款形式：签订单价合同，按乙方中标单价及验收通过的实际完成工作量进行结算。</w:t>
      </w:r>
    </w:p>
    <w:p>
      <w:pPr>
        <w:snapToGrid w:val="0"/>
        <w:spacing w:line="360" w:lineRule="auto"/>
        <w:ind w:firstLine="480" w:firstLineChars="200"/>
        <w:rPr>
          <w:rFonts w:ascii="宋体" w:hAnsi="宋体" w:cs="宋体"/>
          <w:color w:val="auto"/>
          <w:sz w:val="24"/>
        </w:rPr>
      </w:pPr>
      <w:r>
        <w:rPr>
          <w:rFonts w:ascii="宋体" w:hAnsi="宋体" w:cs="宋体"/>
          <w:color w:val="auto"/>
          <w:sz w:val="24"/>
        </w:rPr>
        <w:t>4.</w:t>
      </w:r>
      <w:r>
        <w:rPr>
          <w:rFonts w:hint="eastAsia" w:ascii="宋体" w:hAnsi="宋体" w:cs="宋体"/>
          <w:color w:val="auto"/>
          <w:sz w:val="24"/>
        </w:rPr>
        <w:t>合同金额包括含供应商为完成本次服务而发生的所有相关费用，包括但不限于差旅费、会议费、数据采集费、资料费、专家咨询费、管理费、劳务费、评审费、税费等。</w:t>
      </w:r>
    </w:p>
    <w:p>
      <w:pPr>
        <w:snapToGrid w:val="0"/>
        <w:spacing w:line="360" w:lineRule="auto"/>
        <w:ind w:firstLine="482" w:firstLineChars="200"/>
        <w:rPr>
          <w:rFonts w:ascii="宋体" w:hAnsi="宋体" w:cs="宋体"/>
          <w:b/>
          <w:color w:val="auto"/>
          <w:sz w:val="24"/>
        </w:rPr>
      </w:pPr>
      <w:r>
        <w:rPr>
          <w:rFonts w:hint="eastAsia" w:ascii="宋体" w:hAnsi="宋体" w:cs="宋体"/>
          <w:b/>
          <w:color w:val="auto"/>
          <w:sz w:val="24"/>
        </w:rPr>
        <w:t>第二条 质量保证</w:t>
      </w:r>
    </w:p>
    <w:p>
      <w:pPr>
        <w:spacing w:line="360" w:lineRule="auto"/>
        <w:ind w:firstLine="480" w:firstLineChars="200"/>
        <w:rPr>
          <w:rFonts w:ascii="宋体" w:hAnsi="宋体" w:cs="宋体"/>
          <w:color w:val="000000"/>
          <w:sz w:val="24"/>
        </w:rPr>
      </w:pPr>
      <w:r>
        <w:rPr>
          <w:rFonts w:ascii="宋体" w:hAnsi="宋体" w:cs="宋体"/>
          <w:color w:val="auto"/>
          <w:sz w:val="24"/>
        </w:rPr>
        <w:t>1.</w:t>
      </w:r>
      <w:r>
        <w:rPr>
          <w:rFonts w:hint="eastAsia" w:ascii="宋体" w:hAnsi="宋体" w:cs="宋体"/>
          <w:color w:val="auto"/>
          <w:sz w:val="24"/>
        </w:rPr>
        <w:t>乙方所提供的服务必须与采购文件及响应文件和承诺相一</w:t>
      </w:r>
      <w:r>
        <w:rPr>
          <w:rFonts w:hint="eastAsia" w:ascii="宋体" w:hAnsi="宋体" w:cs="宋体"/>
          <w:color w:val="000000"/>
          <w:sz w:val="24"/>
        </w:rPr>
        <w:t>致。</w:t>
      </w:r>
    </w:p>
    <w:p>
      <w:pPr>
        <w:spacing w:line="360" w:lineRule="auto"/>
        <w:ind w:firstLine="480" w:firstLineChars="200"/>
        <w:rPr>
          <w:rFonts w:ascii="宋体" w:hAnsi="宋体" w:cs="宋体"/>
          <w:color w:val="000000"/>
          <w:sz w:val="24"/>
        </w:rPr>
      </w:pPr>
      <w:r>
        <w:rPr>
          <w:rFonts w:ascii="宋体" w:hAnsi="宋体" w:cs="宋体"/>
          <w:color w:val="000000"/>
          <w:sz w:val="24"/>
        </w:rPr>
        <w:t>2.</w:t>
      </w:r>
      <w:r>
        <w:rPr>
          <w:rFonts w:hint="eastAsia" w:ascii="宋体" w:hAnsi="宋体" w:cs="宋体"/>
          <w:color w:val="000000"/>
          <w:sz w:val="24"/>
        </w:rPr>
        <w:t>乙方所提供的服务质量应达到采购文件及响应文件要求和承诺的质量要求。</w:t>
      </w:r>
    </w:p>
    <w:p>
      <w:pPr>
        <w:snapToGrid w:val="0"/>
        <w:spacing w:line="360" w:lineRule="auto"/>
        <w:ind w:firstLine="482" w:firstLineChars="200"/>
        <w:rPr>
          <w:rFonts w:ascii="宋体" w:hAnsi="宋体" w:cs="宋体"/>
          <w:b/>
          <w:color w:val="000000"/>
          <w:sz w:val="24"/>
        </w:rPr>
      </w:pPr>
      <w:r>
        <w:rPr>
          <w:rFonts w:hint="eastAsia" w:ascii="宋体" w:hAnsi="宋体" w:cs="宋体"/>
          <w:b/>
          <w:color w:val="000000"/>
          <w:sz w:val="24"/>
        </w:rPr>
        <w:t>第三条 权利保证</w:t>
      </w:r>
    </w:p>
    <w:p>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乙方应保证所提供的服务不会侵犯任何第三方的专利权、商标权、工业设计权或其它权利。</w:t>
      </w:r>
    </w:p>
    <w:p>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乙方应按采购文件规定的时间完成本项目。</w:t>
      </w:r>
    </w:p>
    <w:p>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没有甲方事先书面同意，乙方不得将由甲方提供的有关合同或任何合同条文、规格、计划或资料提供给与履行本合同无关的任何其它人。即使向履行本合同有关的人员提供，也应注意保密并限于履行合同的必需范围。</w:t>
      </w:r>
    </w:p>
    <w:p>
      <w:pPr>
        <w:snapToGrid w:val="0"/>
        <w:spacing w:line="360" w:lineRule="auto"/>
        <w:ind w:firstLine="482" w:firstLineChars="200"/>
        <w:rPr>
          <w:rFonts w:ascii="宋体" w:hAnsi="宋体" w:cs="宋体"/>
          <w:b/>
          <w:color w:val="000000"/>
          <w:sz w:val="24"/>
        </w:rPr>
      </w:pPr>
      <w:r>
        <w:rPr>
          <w:rFonts w:hint="eastAsia" w:ascii="宋体" w:hAnsi="宋体" w:cs="宋体"/>
          <w:b/>
          <w:color w:val="000000"/>
          <w:sz w:val="24"/>
        </w:rPr>
        <w:t>第四条 提交服务成果时间和验收</w:t>
      </w:r>
    </w:p>
    <w:p>
      <w:pPr>
        <w:snapToGrid w:val="0"/>
        <w:spacing w:line="360" w:lineRule="auto"/>
        <w:ind w:firstLine="480" w:firstLineChars="200"/>
        <w:rPr>
          <w:rFonts w:ascii="宋体" w:hAnsi="宋体" w:cs="宋体"/>
          <w:color w:val="000000"/>
          <w:sz w:val="24"/>
        </w:rPr>
      </w:pPr>
      <w:r>
        <w:rPr>
          <w:rFonts w:ascii="宋体" w:hAnsi="宋体" w:cs="宋体"/>
          <w:color w:val="000000"/>
          <w:sz w:val="24"/>
        </w:rPr>
        <w:t>1.</w:t>
      </w:r>
      <w:r>
        <w:rPr>
          <w:rFonts w:hint="eastAsia" w:ascii="宋体" w:hAnsi="宋体" w:cs="宋体"/>
          <w:color w:val="000000"/>
          <w:sz w:val="24"/>
        </w:rPr>
        <w:t>提交服务成果时间：，地点：</w:t>
      </w:r>
      <w:r>
        <w:rPr>
          <w:rFonts w:hint="eastAsia" w:ascii="宋体" w:hAnsi="宋体" w:cs="宋体"/>
          <w:color w:val="000000"/>
          <w:sz w:val="24"/>
          <w:u w:val="single"/>
        </w:rPr>
        <w:t>广西南宁市内采购单位指定地点</w:t>
      </w:r>
      <w:r>
        <w:rPr>
          <w:rFonts w:hint="eastAsia" w:ascii="宋体" w:hAnsi="宋体" w:cs="宋体"/>
          <w:color w:val="000000"/>
          <w:sz w:val="24"/>
        </w:rPr>
        <w:t>。</w:t>
      </w:r>
    </w:p>
    <w:p>
      <w:pPr>
        <w:snapToGrid w:val="0"/>
        <w:spacing w:line="360" w:lineRule="auto"/>
        <w:ind w:firstLine="480" w:firstLineChars="200"/>
        <w:rPr>
          <w:rFonts w:ascii="宋体" w:hAnsi="宋体" w:cs="宋体"/>
          <w:color w:val="000000"/>
          <w:sz w:val="24"/>
        </w:rPr>
      </w:pPr>
      <w:r>
        <w:rPr>
          <w:rFonts w:ascii="宋体" w:hAnsi="宋体" w:cs="宋体"/>
          <w:color w:val="000000"/>
          <w:sz w:val="24"/>
        </w:rPr>
        <w:t>2.</w:t>
      </w:r>
      <w:r>
        <w:rPr>
          <w:rFonts w:hint="eastAsia" w:ascii="宋体" w:hAnsi="宋体" w:cs="宋体"/>
          <w:color w:val="000000"/>
          <w:sz w:val="24"/>
        </w:rPr>
        <w:t>乙方提供不符合采购文件及响应文件和本合同规定的服务，甲方有权拒绝接受。</w:t>
      </w:r>
    </w:p>
    <w:p>
      <w:pPr>
        <w:snapToGrid w:val="0"/>
        <w:spacing w:line="360" w:lineRule="auto"/>
        <w:ind w:firstLine="480" w:firstLineChars="200"/>
        <w:rPr>
          <w:rFonts w:ascii="宋体" w:hAnsi="宋体" w:cs="宋体"/>
          <w:color w:val="000000"/>
          <w:sz w:val="24"/>
        </w:rPr>
      </w:pPr>
      <w:r>
        <w:rPr>
          <w:rFonts w:ascii="宋体" w:hAnsi="宋体" w:cs="宋体"/>
          <w:color w:val="000000"/>
          <w:sz w:val="24"/>
        </w:rPr>
        <w:t>3.</w:t>
      </w:r>
      <w:r>
        <w:rPr>
          <w:rFonts w:hint="eastAsia" w:ascii="宋体" w:hAnsi="宋体" w:cs="宋体"/>
          <w:color w:val="000000"/>
          <w:sz w:val="24"/>
        </w:rPr>
        <w:t>验收要求详见采购文件。验收合格后由甲乙双方签署验收单并加盖采购单位公章，甲乙双方各执一份。</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4.</w:t>
      </w:r>
      <w:r>
        <w:rPr>
          <w:rFonts w:ascii="宋体" w:hAnsi="宋体" w:cs="宋体"/>
          <w:color w:val="auto"/>
          <w:sz w:val="24"/>
        </w:rPr>
        <w:t xml:space="preserve"> </w:t>
      </w:r>
      <w:r>
        <w:rPr>
          <w:rFonts w:hint="eastAsia" w:ascii="宋体" w:hAnsi="宋体" w:cs="宋体"/>
          <w:color w:val="auto"/>
          <w:sz w:val="24"/>
        </w:rPr>
        <w:t>甲方对验收有异议的，在验收后五个工作日内以书面形式向乙方提出，乙方应自收到甲方书面异议后</w:t>
      </w:r>
      <w:r>
        <w:rPr>
          <w:rFonts w:ascii="宋体" w:hAnsi="宋体" w:cs="宋体"/>
          <w:color w:val="auto"/>
          <w:sz w:val="24"/>
        </w:rPr>
        <w:t xml:space="preserve"> 5 </w:t>
      </w:r>
      <w:r>
        <w:rPr>
          <w:rFonts w:hint="eastAsia" w:ascii="宋体" w:hAnsi="宋体" w:cs="宋体"/>
          <w:color w:val="auto"/>
          <w:sz w:val="24"/>
        </w:rPr>
        <w:t>日内及时予以解决。</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5</w:t>
      </w:r>
      <w:r>
        <w:rPr>
          <w:rFonts w:ascii="宋体" w:hAnsi="宋体" w:cs="宋体"/>
          <w:color w:val="auto"/>
          <w:sz w:val="24"/>
        </w:rPr>
        <w:t>.</w:t>
      </w:r>
      <w:r>
        <w:rPr>
          <w:rFonts w:hint="eastAsia" w:ascii="宋体" w:hAnsi="宋体" w:cs="宋体"/>
          <w:color w:val="auto"/>
          <w:sz w:val="24"/>
        </w:rPr>
        <w:t>若乙方未能达到甲方所列验收标准，则视为相应单项工作量未完成。</w:t>
      </w:r>
    </w:p>
    <w:p>
      <w:pPr>
        <w:snapToGrid w:val="0"/>
        <w:spacing w:line="360" w:lineRule="auto"/>
        <w:ind w:firstLine="482" w:firstLineChars="200"/>
        <w:rPr>
          <w:rFonts w:ascii="宋体" w:hAnsi="宋体" w:cs="宋体"/>
          <w:b/>
          <w:color w:val="auto"/>
          <w:sz w:val="24"/>
        </w:rPr>
      </w:pPr>
      <w:r>
        <w:rPr>
          <w:rFonts w:hint="eastAsia" w:ascii="宋体" w:hAnsi="宋体" w:cs="宋体"/>
          <w:b/>
          <w:color w:val="auto"/>
          <w:sz w:val="24"/>
        </w:rPr>
        <w:t>第五条 付款方式</w:t>
      </w:r>
    </w:p>
    <w:p>
      <w:pPr>
        <w:snapToGrid w:val="0"/>
        <w:spacing w:line="360" w:lineRule="auto"/>
        <w:ind w:firstLine="562" w:firstLineChars="200"/>
        <w:rPr>
          <w:rFonts w:ascii="宋体" w:hAnsi="宋体" w:cs="宋体"/>
          <w:color w:val="auto"/>
          <w:sz w:val="24"/>
        </w:rPr>
      </w:pPr>
      <w:r>
        <w:rPr>
          <w:rFonts w:hint="eastAsia" w:ascii="仿宋" w:hAnsi="仿宋" w:eastAsia="仿宋" w:cs="宋体"/>
          <w:b/>
          <w:color w:val="auto"/>
          <w:kern w:val="0"/>
          <w:sz w:val="28"/>
          <w:szCs w:val="28"/>
        </w:rPr>
        <w:t>1</w:t>
      </w:r>
      <w:r>
        <w:rPr>
          <w:rFonts w:ascii="仿宋" w:hAnsi="仿宋" w:eastAsia="仿宋" w:cs="宋体"/>
          <w:b/>
          <w:color w:val="auto"/>
          <w:kern w:val="0"/>
          <w:sz w:val="28"/>
          <w:szCs w:val="28"/>
        </w:rPr>
        <w:t>.</w:t>
      </w:r>
      <w:r>
        <w:rPr>
          <w:rFonts w:hint="eastAsia" w:ascii="仿宋" w:hAnsi="仿宋" w:eastAsia="仿宋" w:cs="宋体"/>
          <w:b/>
          <w:color w:val="auto"/>
          <w:kern w:val="0"/>
          <w:sz w:val="28"/>
          <w:szCs w:val="28"/>
        </w:rPr>
        <w:t>第一次支付：</w:t>
      </w:r>
      <w:r>
        <w:rPr>
          <w:rFonts w:hint="eastAsia" w:ascii="宋体" w:hAnsi="宋体" w:cs="宋体"/>
          <w:color w:val="auto"/>
          <w:sz w:val="24"/>
        </w:rPr>
        <w:t>本协议签订后10个工作日内，乙方在甲方4个标志性成果的校内培育和申报阶段，全程开展咨询指导服务。甲方支付给乙方人民币</w:t>
      </w:r>
      <w:r>
        <w:rPr>
          <w:rFonts w:hint="eastAsia" w:ascii="宋体" w:hAnsi="宋体" w:cs="宋体"/>
          <w:color w:val="auto"/>
          <w:sz w:val="24"/>
          <w:u w:val="single"/>
        </w:rPr>
        <w:t xml:space="preserve">      </w:t>
      </w:r>
      <w:r>
        <w:rPr>
          <w:rFonts w:hint="eastAsia" w:ascii="宋体" w:hAnsi="宋体" w:cs="宋体"/>
          <w:color w:val="auto"/>
          <w:sz w:val="24"/>
        </w:rPr>
        <w:t>元 ;</w:t>
      </w:r>
    </w:p>
    <w:p>
      <w:pPr>
        <w:snapToGrid w:val="0"/>
        <w:spacing w:line="360" w:lineRule="auto"/>
        <w:ind w:firstLine="562" w:firstLineChars="200"/>
        <w:rPr>
          <w:rFonts w:ascii="宋体" w:hAnsi="宋体" w:cs="宋体"/>
          <w:color w:val="auto"/>
          <w:sz w:val="24"/>
        </w:rPr>
      </w:pPr>
      <w:r>
        <w:rPr>
          <w:rFonts w:hint="eastAsia" w:ascii="仿宋" w:hAnsi="仿宋" w:eastAsia="仿宋" w:cs="宋体"/>
          <w:b/>
          <w:color w:val="auto"/>
          <w:kern w:val="0"/>
          <w:sz w:val="28"/>
          <w:szCs w:val="28"/>
        </w:rPr>
        <w:t>2</w:t>
      </w:r>
      <w:r>
        <w:rPr>
          <w:rFonts w:ascii="仿宋" w:hAnsi="仿宋" w:eastAsia="仿宋" w:cs="宋体"/>
          <w:b/>
          <w:color w:val="auto"/>
          <w:kern w:val="0"/>
          <w:sz w:val="28"/>
          <w:szCs w:val="28"/>
        </w:rPr>
        <w:t>.</w:t>
      </w:r>
      <w:r>
        <w:rPr>
          <w:rFonts w:hint="eastAsia" w:ascii="仿宋" w:hAnsi="仿宋" w:eastAsia="仿宋" w:cs="宋体"/>
          <w:b/>
          <w:color w:val="auto"/>
          <w:kern w:val="0"/>
          <w:sz w:val="28"/>
          <w:szCs w:val="28"/>
        </w:rPr>
        <w:t>第二次支付：</w:t>
      </w:r>
      <w:r>
        <w:rPr>
          <w:rFonts w:hint="eastAsia" w:ascii="宋体" w:hAnsi="宋体" w:cs="宋体"/>
          <w:color w:val="auto"/>
          <w:sz w:val="24"/>
        </w:rPr>
        <w:t>乙方指导甲方的标志性成果获得广西自治区推荐参加国家标志性成果评审资格（以自治区教育行政部门推荐文件为准）的，每项支付人民币</w:t>
      </w:r>
      <w:r>
        <w:rPr>
          <w:rFonts w:hint="eastAsia" w:ascii="宋体" w:hAnsi="宋体" w:cs="宋体"/>
          <w:color w:val="auto"/>
          <w:sz w:val="24"/>
          <w:u w:val="single"/>
        </w:rPr>
        <w:t xml:space="preserve">      </w:t>
      </w:r>
      <w:r>
        <w:rPr>
          <w:rFonts w:hint="eastAsia" w:ascii="宋体" w:hAnsi="宋体" w:cs="宋体"/>
          <w:color w:val="auto"/>
          <w:sz w:val="24"/>
        </w:rPr>
        <w:t>元；款项在文件公布后10个工作日内支付。</w:t>
      </w:r>
    </w:p>
    <w:p>
      <w:pPr>
        <w:snapToGrid w:val="0"/>
        <w:spacing w:line="360" w:lineRule="auto"/>
        <w:ind w:firstLine="562" w:firstLineChars="200"/>
        <w:rPr>
          <w:rFonts w:ascii="宋体" w:hAnsi="宋体" w:cs="宋体"/>
          <w:color w:val="auto"/>
          <w:sz w:val="24"/>
        </w:rPr>
      </w:pPr>
      <w:r>
        <w:rPr>
          <w:rFonts w:hint="eastAsia" w:ascii="仿宋" w:hAnsi="仿宋" w:eastAsia="仿宋" w:cs="宋体"/>
          <w:b/>
          <w:color w:val="auto"/>
          <w:kern w:val="0"/>
          <w:sz w:val="28"/>
          <w:szCs w:val="28"/>
        </w:rPr>
        <w:t>3</w:t>
      </w:r>
      <w:r>
        <w:rPr>
          <w:rFonts w:ascii="仿宋" w:hAnsi="仿宋" w:eastAsia="仿宋" w:cs="宋体"/>
          <w:b/>
          <w:color w:val="auto"/>
          <w:kern w:val="0"/>
          <w:sz w:val="28"/>
          <w:szCs w:val="28"/>
        </w:rPr>
        <w:t>.</w:t>
      </w:r>
      <w:r>
        <w:rPr>
          <w:rFonts w:hint="eastAsia" w:ascii="仿宋" w:hAnsi="仿宋" w:eastAsia="仿宋" w:cs="宋体"/>
          <w:b/>
          <w:color w:val="auto"/>
          <w:kern w:val="0"/>
          <w:sz w:val="28"/>
          <w:szCs w:val="28"/>
        </w:rPr>
        <w:t>第三次支付：</w:t>
      </w:r>
      <w:r>
        <w:rPr>
          <w:rFonts w:hint="eastAsia" w:ascii="宋体" w:hAnsi="宋体" w:cs="宋体"/>
          <w:color w:val="auto"/>
          <w:sz w:val="24"/>
        </w:rPr>
        <w:t>乙方指导甲方的标志性成果经专家网评通过进入国家级标志性成果会评后，每项支付人民币</w:t>
      </w:r>
      <w:r>
        <w:rPr>
          <w:rFonts w:hint="eastAsia" w:ascii="宋体" w:hAnsi="宋体" w:cs="宋体"/>
          <w:color w:val="auto"/>
          <w:sz w:val="24"/>
          <w:u w:val="single"/>
        </w:rPr>
        <w:t xml:space="preserve">     </w:t>
      </w:r>
      <w:r>
        <w:rPr>
          <w:rFonts w:hint="eastAsia" w:ascii="宋体" w:hAnsi="宋体" w:cs="宋体"/>
          <w:color w:val="auto"/>
          <w:sz w:val="24"/>
        </w:rPr>
        <w:t>元; 款项在文件公布后10个工作日内支付。</w:t>
      </w:r>
    </w:p>
    <w:p>
      <w:pPr>
        <w:snapToGrid w:val="0"/>
        <w:spacing w:line="360" w:lineRule="auto"/>
        <w:ind w:firstLine="562" w:firstLineChars="200"/>
        <w:rPr>
          <w:rFonts w:ascii="宋体" w:hAnsi="宋体" w:cs="宋体"/>
          <w:color w:val="auto"/>
          <w:sz w:val="24"/>
        </w:rPr>
      </w:pPr>
      <w:r>
        <w:rPr>
          <w:rFonts w:hint="eastAsia" w:ascii="仿宋" w:hAnsi="仿宋" w:eastAsia="仿宋" w:cs="宋体"/>
          <w:b/>
          <w:color w:val="auto"/>
          <w:kern w:val="0"/>
          <w:sz w:val="28"/>
          <w:szCs w:val="28"/>
        </w:rPr>
        <w:t>4</w:t>
      </w:r>
      <w:r>
        <w:rPr>
          <w:rFonts w:ascii="仿宋" w:hAnsi="仿宋" w:eastAsia="仿宋" w:cs="宋体"/>
          <w:b/>
          <w:color w:val="auto"/>
          <w:kern w:val="0"/>
          <w:sz w:val="28"/>
          <w:szCs w:val="28"/>
        </w:rPr>
        <w:t>.</w:t>
      </w:r>
      <w:r>
        <w:rPr>
          <w:rFonts w:hint="eastAsia" w:ascii="仿宋" w:hAnsi="仿宋" w:eastAsia="仿宋" w:cs="宋体"/>
          <w:b/>
          <w:color w:val="auto"/>
          <w:kern w:val="0"/>
          <w:sz w:val="28"/>
          <w:szCs w:val="28"/>
        </w:rPr>
        <w:t>第四次支付：</w:t>
      </w:r>
      <w:bookmarkStart w:id="0" w:name="_Hlk96250029"/>
      <w:r>
        <w:rPr>
          <w:rFonts w:hint="eastAsia" w:ascii="宋体" w:hAnsi="宋体" w:cs="宋体"/>
          <w:color w:val="auto"/>
          <w:sz w:val="24"/>
        </w:rPr>
        <w:t>乙方指导甲方的标志性成果获得国家级标志性成果，</w:t>
      </w:r>
      <w:bookmarkEnd w:id="0"/>
      <w:bookmarkStart w:id="1" w:name="_Hlk96250116"/>
      <w:r>
        <w:rPr>
          <w:rFonts w:hint="eastAsia" w:ascii="宋体" w:hAnsi="宋体" w:cs="宋体"/>
          <w:color w:val="auto"/>
          <w:sz w:val="24"/>
        </w:rPr>
        <w:t>获得国家级最低级标志性成果的，每项支付人民币</w:t>
      </w:r>
      <w:r>
        <w:rPr>
          <w:rFonts w:hint="eastAsia" w:ascii="宋体" w:hAnsi="宋体" w:cs="宋体"/>
          <w:color w:val="auto"/>
          <w:sz w:val="24"/>
          <w:u w:val="single"/>
        </w:rPr>
        <w:t xml:space="preserve">      </w:t>
      </w:r>
      <w:r>
        <w:rPr>
          <w:rFonts w:hint="eastAsia" w:ascii="宋体" w:hAnsi="宋体" w:cs="宋体"/>
          <w:color w:val="auto"/>
          <w:sz w:val="24"/>
        </w:rPr>
        <w:t>元；</w:t>
      </w:r>
      <w:bookmarkEnd w:id="1"/>
      <w:r>
        <w:rPr>
          <w:rFonts w:hint="eastAsia" w:ascii="宋体" w:hAnsi="宋体" w:cs="宋体"/>
          <w:color w:val="auto"/>
          <w:sz w:val="24"/>
        </w:rPr>
        <w:t>获得国家级次高级标志性成果的，每项支付人民币</w:t>
      </w:r>
      <w:r>
        <w:rPr>
          <w:rFonts w:hint="eastAsia" w:ascii="宋体" w:hAnsi="宋体" w:cs="宋体"/>
          <w:color w:val="auto"/>
          <w:sz w:val="24"/>
          <w:u w:val="single"/>
        </w:rPr>
        <w:t xml:space="preserve">      </w:t>
      </w:r>
      <w:r>
        <w:rPr>
          <w:rFonts w:hint="eastAsia" w:ascii="宋体" w:hAnsi="宋体" w:cs="宋体"/>
          <w:color w:val="auto"/>
          <w:sz w:val="24"/>
        </w:rPr>
        <w:t>元。款项在文件公布后10个工作日内支付。</w:t>
      </w:r>
    </w:p>
    <w:p>
      <w:pPr>
        <w:snapToGrid w:val="0"/>
        <w:spacing w:line="360" w:lineRule="auto"/>
        <w:ind w:firstLine="482" w:firstLineChars="200"/>
        <w:rPr>
          <w:rFonts w:ascii="宋体" w:hAnsi="宋体" w:cs="宋体"/>
          <w:b/>
          <w:color w:val="auto"/>
          <w:sz w:val="24"/>
        </w:rPr>
      </w:pPr>
      <w:r>
        <w:rPr>
          <w:rFonts w:hint="eastAsia" w:ascii="宋体" w:hAnsi="宋体" w:cs="宋体"/>
          <w:b/>
          <w:bCs/>
          <w:color w:val="auto"/>
          <w:sz w:val="24"/>
        </w:rPr>
        <w:t>(注:</w:t>
      </w:r>
      <w:r>
        <w:rPr>
          <w:rFonts w:hint="eastAsia" w:ascii="宋体" w:hAnsi="宋体" w:cs="宋体"/>
          <w:b/>
          <w:color w:val="auto"/>
          <w:sz w:val="24"/>
        </w:rPr>
        <w:t>付款前，乙方须提供相应金额的合法发票。)</w:t>
      </w:r>
    </w:p>
    <w:p>
      <w:pPr>
        <w:widowControl/>
        <w:textAlignment w:val="baseline"/>
        <w:rPr>
          <w:rFonts w:ascii="仿宋" w:hAnsi="仿宋" w:eastAsia="仿宋" w:cs="宋体"/>
          <w:b/>
          <w:color w:val="000000"/>
          <w:kern w:val="0"/>
          <w:sz w:val="28"/>
          <w:szCs w:val="28"/>
        </w:rPr>
      </w:pPr>
      <w:r>
        <w:rPr>
          <w:rFonts w:hint="eastAsia" w:ascii="仿宋" w:hAnsi="仿宋" w:eastAsia="仿宋" w:cs="宋体"/>
          <w:color w:val="000000"/>
          <w:kern w:val="0"/>
          <w:sz w:val="28"/>
          <w:szCs w:val="28"/>
        </w:rPr>
        <w:t xml:space="preserve">   （二）乙方银行账户信息：</w:t>
      </w:r>
    </w:p>
    <w:p>
      <w:pPr>
        <w:widowControl/>
        <w:spacing w:line="440" w:lineRule="exact"/>
        <w:ind w:firstLine="560" w:firstLineChars="200"/>
        <w:textAlignment w:val="baseline"/>
        <w:rPr>
          <w:rFonts w:ascii="仿宋" w:hAnsi="仿宋" w:eastAsia="仿宋" w:cs="宋体"/>
          <w:b/>
          <w:color w:val="000000"/>
          <w:kern w:val="0"/>
          <w:sz w:val="28"/>
          <w:szCs w:val="28"/>
        </w:rPr>
      </w:pPr>
      <w:r>
        <w:rPr>
          <w:rFonts w:hint="eastAsia" w:ascii="仿宋" w:hAnsi="仿宋" w:eastAsia="仿宋" w:cs="宋体"/>
          <w:color w:val="000000"/>
          <w:kern w:val="0"/>
          <w:sz w:val="28"/>
          <w:szCs w:val="28"/>
        </w:rPr>
        <w:t>账户名称：</w:t>
      </w:r>
    </w:p>
    <w:p>
      <w:pPr>
        <w:widowControl/>
        <w:spacing w:line="440" w:lineRule="exact"/>
        <w:ind w:firstLine="560" w:firstLineChars="200"/>
        <w:textAlignment w:val="baseline"/>
        <w:rPr>
          <w:rFonts w:ascii="仿宋" w:hAnsi="仿宋" w:eastAsia="仿宋" w:cs="宋体"/>
          <w:b/>
          <w:color w:val="000000"/>
          <w:kern w:val="0"/>
          <w:sz w:val="28"/>
          <w:szCs w:val="28"/>
        </w:rPr>
      </w:pPr>
      <w:r>
        <w:rPr>
          <w:rFonts w:hint="eastAsia" w:ascii="仿宋" w:hAnsi="仿宋" w:eastAsia="仿宋" w:cs="宋体"/>
          <w:color w:val="000000"/>
          <w:kern w:val="0"/>
          <w:sz w:val="28"/>
          <w:szCs w:val="28"/>
        </w:rPr>
        <w:t>帐    号：</w:t>
      </w:r>
    </w:p>
    <w:p>
      <w:pPr>
        <w:widowControl/>
        <w:spacing w:line="440" w:lineRule="exact"/>
        <w:ind w:firstLine="560" w:firstLineChars="200"/>
        <w:textAlignment w:val="baseline"/>
        <w:rPr>
          <w:rFonts w:ascii="仿宋" w:hAnsi="仿宋" w:eastAsia="仿宋" w:cs="宋体"/>
          <w:b/>
          <w:color w:val="000000"/>
          <w:kern w:val="0"/>
          <w:sz w:val="28"/>
          <w:szCs w:val="28"/>
        </w:rPr>
      </w:pPr>
      <w:r>
        <w:rPr>
          <w:rFonts w:hint="eastAsia" w:ascii="仿宋" w:hAnsi="仿宋" w:eastAsia="仿宋" w:cs="宋体"/>
          <w:color w:val="000000"/>
          <w:kern w:val="0"/>
          <w:sz w:val="28"/>
          <w:szCs w:val="28"/>
        </w:rPr>
        <w:t>开户银行：</w:t>
      </w:r>
    </w:p>
    <w:p>
      <w:pPr>
        <w:snapToGrid w:val="0"/>
        <w:spacing w:line="360" w:lineRule="auto"/>
        <w:ind w:firstLine="482" w:firstLineChars="200"/>
        <w:rPr>
          <w:rFonts w:ascii="宋体" w:hAnsi="宋体" w:cs="宋体"/>
          <w:b/>
          <w:color w:val="000000"/>
          <w:sz w:val="24"/>
        </w:rPr>
      </w:pPr>
      <w:r>
        <w:rPr>
          <w:rFonts w:hint="eastAsia" w:ascii="宋体" w:hAnsi="宋体" w:cs="宋体"/>
          <w:b/>
          <w:color w:val="000000"/>
          <w:sz w:val="24"/>
        </w:rPr>
        <w:t>第六条 履约保证金</w:t>
      </w:r>
    </w:p>
    <w:p>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乙方按合同金额5%向甲方交纳履约保证金。</w:t>
      </w:r>
    </w:p>
    <w:p>
      <w:pPr>
        <w:tabs>
          <w:tab w:val="left" w:pos="6895"/>
        </w:tabs>
        <w:snapToGrid w:val="0"/>
        <w:spacing w:line="360" w:lineRule="auto"/>
        <w:ind w:firstLine="482" w:firstLineChars="200"/>
        <w:rPr>
          <w:rFonts w:ascii="宋体" w:hAnsi="宋体" w:cs="宋体"/>
          <w:b/>
          <w:color w:val="000000"/>
          <w:sz w:val="24"/>
        </w:rPr>
      </w:pPr>
      <w:r>
        <w:rPr>
          <w:rFonts w:hint="eastAsia" w:ascii="宋体" w:hAnsi="宋体" w:cs="宋体"/>
          <w:b/>
          <w:color w:val="000000"/>
          <w:sz w:val="24"/>
        </w:rPr>
        <w:t>第七条 税费</w:t>
      </w:r>
      <w:r>
        <w:rPr>
          <w:rFonts w:ascii="宋体" w:hAnsi="宋体" w:cs="宋体"/>
          <w:b/>
          <w:color w:val="000000"/>
          <w:sz w:val="24"/>
        </w:rPr>
        <w:tab/>
      </w:r>
    </w:p>
    <w:p>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本合同执行中相关的一切税费均由乙方负担。</w:t>
      </w:r>
    </w:p>
    <w:p>
      <w:pPr>
        <w:snapToGrid w:val="0"/>
        <w:spacing w:line="360" w:lineRule="auto"/>
        <w:ind w:firstLine="482" w:firstLineChars="200"/>
        <w:rPr>
          <w:rFonts w:ascii="宋体" w:hAnsi="宋体" w:cs="宋体"/>
          <w:b/>
          <w:color w:val="000000"/>
          <w:sz w:val="24"/>
        </w:rPr>
      </w:pPr>
      <w:r>
        <w:rPr>
          <w:rFonts w:hint="eastAsia" w:ascii="宋体" w:hAnsi="宋体" w:cs="宋体"/>
          <w:b/>
          <w:color w:val="000000"/>
          <w:sz w:val="24"/>
        </w:rPr>
        <w:t xml:space="preserve">第八条 </w:t>
      </w:r>
      <w:r>
        <w:rPr>
          <w:rFonts w:hint="eastAsia" w:ascii="宋体" w:hAnsi="宋体"/>
          <w:b/>
          <w:color w:val="000000"/>
          <w:sz w:val="24"/>
        </w:rPr>
        <w:t>质量保证及</w:t>
      </w:r>
      <w:r>
        <w:rPr>
          <w:rFonts w:hint="eastAsia" w:ascii="宋体" w:hAnsi="宋体" w:cs="宋体"/>
          <w:b/>
          <w:color w:val="000000"/>
          <w:sz w:val="24"/>
        </w:rPr>
        <w:t>售后服务</w:t>
      </w:r>
    </w:p>
    <w:p>
      <w:pPr>
        <w:snapToGrid w:val="0"/>
        <w:spacing w:line="360" w:lineRule="auto"/>
        <w:ind w:firstLine="480" w:firstLineChars="200"/>
        <w:rPr>
          <w:rFonts w:ascii="宋体" w:hAnsi="宋体" w:cs="宋体"/>
          <w:sz w:val="24"/>
        </w:rPr>
      </w:pPr>
      <w:r>
        <w:rPr>
          <w:rFonts w:ascii="宋体" w:hAnsi="宋体" w:cs="宋体"/>
          <w:sz w:val="24"/>
        </w:rPr>
        <w:t>1</w:t>
      </w:r>
      <w:r>
        <w:rPr>
          <w:rFonts w:hint="eastAsia" w:ascii="宋体" w:hAnsi="宋体" w:cs="宋体"/>
          <w:sz w:val="24"/>
        </w:rPr>
        <w:t>、售后服务要求：质量保证期</w:t>
      </w:r>
      <w:r>
        <w:rPr>
          <w:rFonts w:ascii="宋体" w:hAnsi="宋体" w:cs="宋体"/>
          <w:sz w:val="24"/>
        </w:rPr>
        <w:t xml:space="preserve"> 1 </w:t>
      </w:r>
      <w:r>
        <w:rPr>
          <w:rFonts w:hint="eastAsia" w:ascii="宋体" w:hAnsi="宋体" w:cs="宋体"/>
          <w:sz w:val="24"/>
        </w:rPr>
        <w:t>年（自提交成果并验收合格之日起计）</w:t>
      </w:r>
    </w:p>
    <w:p>
      <w:pPr>
        <w:snapToGrid w:val="0"/>
        <w:spacing w:line="360" w:lineRule="auto"/>
        <w:ind w:firstLine="480" w:firstLineChars="200"/>
        <w:rPr>
          <w:rFonts w:ascii="宋体" w:hAnsi="宋体" w:cs="宋体"/>
          <w:sz w:val="28"/>
          <w:szCs w:val="28"/>
        </w:rPr>
      </w:pPr>
      <w:r>
        <w:rPr>
          <w:rFonts w:hint="eastAsia" w:ascii="宋体" w:hAnsi="宋体" w:cs="宋体"/>
          <w:sz w:val="24"/>
        </w:rPr>
        <w:t>2、本项目投入人员：</w:t>
      </w:r>
    </w:p>
    <w:p>
      <w:pPr>
        <w:snapToGrid w:val="0"/>
        <w:spacing w:beforeLines="50" w:after="50" w:line="360" w:lineRule="auto"/>
        <w:jc w:val="center"/>
        <w:rPr>
          <w:rFonts w:ascii="宋体" w:hAnsi="宋体"/>
          <w:b/>
          <w:color w:val="000000"/>
          <w:sz w:val="24"/>
        </w:rPr>
      </w:pPr>
      <w:r>
        <w:rPr>
          <w:rFonts w:hint="eastAsia"/>
          <w:b/>
          <w:bCs/>
          <w:color w:val="000000"/>
          <w:sz w:val="24"/>
        </w:rPr>
        <w:t>本项目实施人员情况</w:t>
      </w:r>
      <w:r>
        <w:rPr>
          <w:rFonts w:hint="eastAsia" w:ascii="宋体" w:hAnsi="宋体"/>
          <w:b/>
          <w:color w:val="000000"/>
          <w:sz w:val="24"/>
        </w:rPr>
        <w:t>一览表</w:t>
      </w:r>
    </w:p>
    <w:tbl>
      <w:tblPr>
        <w:tblStyle w:val="9"/>
        <w:tblW w:w="776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668"/>
        <w:gridCol w:w="2247"/>
        <w:gridCol w:w="12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beforeLines="50" w:after="50"/>
              <w:jc w:val="center"/>
              <w:rPr>
                <w:rFonts w:ascii="宋体" w:hAnsi="宋体"/>
                <w:color w:val="000000"/>
                <w:sz w:val="24"/>
              </w:rPr>
            </w:pPr>
            <w:r>
              <w:rPr>
                <w:rFonts w:hint="eastAsia" w:ascii="宋体" w:hAnsi="宋体"/>
                <w:color w:val="000000"/>
                <w:sz w:val="24"/>
              </w:rPr>
              <w:t>姓名</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Lines="50" w:after="50"/>
              <w:jc w:val="center"/>
              <w:rPr>
                <w:rFonts w:ascii="宋体" w:hAnsi="宋体"/>
                <w:color w:val="000000"/>
                <w:sz w:val="24"/>
              </w:rPr>
            </w:pPr>
            <w:r>
              <w:rPr>
                <w:rFonts w:hint="eastAsia" w:ascii="宋体" w:hAnsi="宋体"/>
                <w:color w:val="000000"/>
                <w:sz w:val="24"/>
              </w:rPr>
              <w:t>职务</w:t>
            </w:r>
          </w:p>
        </w:tc>
        <w:tc>
          <w:tcPr>
            <w:tcW w:w="1668" w:type="dxa"/>
            <w:tcBorders>
              <w:top w:val="single" w:color="auto" w:sz="4" w:space="0"/>
              <w:left w:val="single" w:color="auto" w:sz="4" w:space="0"/>
              <w:bottom w:val="single" w:color="auto" w:sz="4" w:space="0"/>
              <w:right w:val="single" w:color="auto" w:sz="4" w:space="0"/>
            </w:tcBorders>
            <w:vAlign w:val="center"/>
          </w:tcPr>
          <w:p>
            <w:pPr>
              <w:snapToGrid w:val="0"/>
              <w:spacing w:beforeLines="50" w:after="50"/>
              <w:jc w:val="center"/>
              <w:rPr>
                <w:rFonts w:ascii="宋体" w:hAnsi="宋体"/>
                <w:color w:val="000000"/>
                <w:sz w:val="24"/>
              </w:rPr>
            </w:pPr>
            <w:r>
              <w:rPr>
                <w:rFonts w:hint="eastAsia" w:ascii="宋体" w:hAnsi="宋体"/>
                <w:color w:val="000000"/>
                <w:sz w:val="24"/>
              </w:rPr>
              <w:t>专业技术资格</w:t>
            </w:r>
            <w:r>
              <w:rPr>
                <w:rFonts w:ascii="宋体" w:hAnsi="宋体"/>
                <w:color w:val="000000"/>
                <w:sz w:val="24"/>
              </w:rPr>
              <w:t>/</w:t>
            </w:r>
            <w:r>
              <w:rPr>
                <w:rFonts w:hint="eastAsia" w:ascii="宋体" w:hAnsi="宋体"/>
                <w:color w:val="000000"/>
                <w:sz w:val="24"/>
              </w:rPr>
              <w:t>职称</w:t>
            </w:r>
          </w:p>
        </w:tc>
        <w:tc>
          <w:tcPr>
            <w:tcW w:w="2247" w:type="dxa"/>
            <w:tcBorders>
              <w:top w:val="single" w:color="auto" w:sz="4" w:space="0"/>
              <w:left w:val="single" w:color="auto" w:sz="4" w:space="0"/>
              <w:bottom w:val="single" w:color="auto" w:sz="4" w:space="0"/>
              <w:right w:val="single" w:color="auto" w:sz="4" w:space="0"/>
            </w:tcBorders>
            <w:vAlign w:val="center"/>
          </w:tcPr>
          <w:p>
            <w:pPr>
              <w:snapToGrid w:val="0"/>
              <w:spacing w:beforeLines="50" w:after="50"/>
              <w:jc w:val="center"/>
              <w:rPr>
                <w:rFonts w:ascii="宋体" w:hAnsi="宋体"/>
                <w:color w:val="000000"/>
                <w:sz w:val="24"/>
              </w:rPr>
            </w:pPr>
            <w:r>
              <w:rPr>
                <w:rFonts w:hint="eastAsia" w:ascii="宋体" w:hAnsi="宋体"/>
                <w:color w:val="000000"/>
                <w:sz w:val="24"/>
              </w:rPr>
              <w:t>证书编号</w:t>
            </w:r>
          </w:p>
        </w:tc>
        <w:tc>
          <w:tcPr>
            <w:tcW w:w="1256" w:type="dxa"/>
            <w:tcBorders>
              <w:top w:val="single" w:color="auto" w:sz="4" w:space="0"/>
              <w:left w:val="single" w:color="auto" w:sz="4" w:space="0"/>
              <w:bottom w:val="single" w:color="auto" w:sz="4" w:space="0"/>
              <w:right w:val="single" w:color="auto" w:sz="4" w:space="0"/>
            </w:tcBorders>
            <w:vAlign w:val="center"/>
          </w:tcPr>
          <w:p>
            <w:pPr>
              <w:snapToGrid w:val="0"/>
              <w:spacing w:beforeLines="50" w:after="50"/>
              <w:jc w:val="center"/>
              <w:rPr>
                <w:rFonts w:ascii="宋体" w:hAnsi="宋体"/>
                <w:bCs/>
                <w:color w:val="000000"/>
                <w:sz w:val="24"/>
              </w:rPr>
            </w:pPr>
            <w:r>
              <w:rPr>
                <w:rFonts w:hint="eastAsia" w:ascii="宋体" w:hAnsi="宋体"/>
                <w:bCs/>
                <w:color w:val="000000"/>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pPr>
              <w:snapToGrid w:val="0"/>
              <w:spacing w:beforeLines="50" w:after="50"/>
              <w:rPr>
                <w:rFonts w:ascii="宋体" w:hAnsi="宋体"/>
                <w:color w:val="000000"/>
                <w:sz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after="50"/>
              <w:rPr>
                <w:rFonts w:ascii="宋体" w:hAnsi="宋体"/>
                <w:color w:val="000000"/>
                <w:sz w:val="24"/>
              </w:rPr>
            </w:pPr>
          </w:p>
        </w:tc>
        <w:tc>
          <w:tcPr>
            <w:tcW w:w="1668" w:type="dxa"/>
            <w:tcBorders>
              <w:top w:val="single" w:color="auto" w:sz="4" w:space="0"/>
              <w:left w:val="single" w:color="auto" w:sz="4" w:space="0"/>
              <w:bottom w:val="single" w:color="auto" w:sz="4" w:space="0"/>
              <w:right w:val="single" w:color="auto" w:sz="4" w:space="0"/>
            </w:tcBorders>
          </w:tcPr>
          <w:p>
            <w:pPr>
              <w:snapToGrid w:val="0"/>
              <w:spacing w:beforeLines="50" w:after="50"/>
              <w:rPr>
                <w:rFonts w:ascii="宋体" w:hAnsi="宋体"/>
                <w:color w:val="000000"/>
                <w:sz w:val="24"/>
              </w:rPr>
            </w:pPr>
          </w:p>
        </w:tc>
        <w:tc>
          <w:tcPr>
            <w:tcW w:w="2247" w:type="dxa"/>
            <w:tcBorders>
              <w:top w:val="single" w:color="auto" w:sz="4" w:space="0"/>
              <w:left w:val="single" w:color="auto" w:sz="4" w:space="0"/>
              <w:bottom w:val="single" w:color="auto" w:sz="4" w:space="0"/>
              <w:right w:val="single" w:color="auto" w:sz="4" w:space="0"/>
            </w:tcBorders>
          </w:tcPr>
          <w:p>
            <w:pPr>
              <w:snapToGrid w:val="0"/>
              <w:spacing w:beforeLines="50" w:after="50"/>
              <w:rPr>
                <w:rFonts w:ascii="宋体" w:hAnsi="宋体"/>
                <w:color w:val="000000"/>
                <w:sz w:val="24"/>
              </w:rPr>
            </w:pPr>
          </w:p>
        </w:tc>
        <w:tc>
          <w:tcPr>
            <w:tcW w:w="1256" w:type="dxa"/>
            <w:tcBorders>
              <w:top w:val="single" w:color="auto" w:sz="4" w:space="0"/>
              <w:left w:val="single" w:color="auto" w:sz="4" w:space="0"/>
              <w:bottom w:val="single" w:color="auto" w:sz="4" w:space="0"/>
              <w:right w:val="single" w:color="auto" w:sz="4" w:space="0"/>
            </w:tcBorders>
          </w:tcPr>
          <w:p>
            <w:pPr>
              <w:snapToGrid w:val="0"/>
              <w:spacing w:beforeLines="50" w:after="5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pPr>
              <w:snapToGrid w:val="0"/>
              <w:spacing w:beforeLines="50" w:after="50"/>
              <w:rPr>
                <w:rFonts w:ascii="宋体" w:hAnsi="宋体"/>
                <w:color w:val="000000"/>
                <w:sz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after="50"/>
              <w:rPr>
                <w:rFonts w:ascii="宋体" w:hAnsi="宋体"/>
                <w:color w:val="000000"/>
                <w:sz w:val="24"/>
              </w:rPr>
            </w:pPr>
          </w:p>
        </w:tc>
        <w:tc>
          <w:tcPr>
            <w:tcW w:w="1668" w:type="dxa"/>
            <w:tcBorders>
              <w:top w:val="single" w:color="auto" w:sz="4" w:space="0"/>
              <w:left w:val="single" w:color="auto" w:sz="4" w:space="0"/>
              <w:bottom w:val="single" w:color="auto" w:sz="4" w:space="0"/>
              <w:right w:val="single" w:color="auto" w:sz="4" w:space="0"/>
            </w:tcBorders>
          </w:tcPr>
          <w:p>
            <w:pPr>
              <w:snapToGrid w:val="0"/>
              <w:spacing w:beforeLines="50" w:after="50"/>
              <w:rPr>
                <w:rFonts w:ascii="宋体" w:hAnsi="宋体"/>
                <w:color w:val="000000"/>
                <w:sz w:val="24"/>
              </w:rPr>
            </w:pPr>
          </w:p>
        </w:tc>
        <w:tc>
          <w:tcPr>
            <w:tcW w:w="2247" w:type="dxa"/>
            <w:tcBorders>
              <w:top w:val="single" w:color="auto" w:sz="4" w:space="0"/>
              <w:left w:val="single" w:color="auto" w:sz="4" w:space="0"/>
              <w:bottom w:val="single" w:color="auto" w:sz="4" w:space="0"/>
              <w:right w:val="single" w:color="auto" w:sz="4" w:space="0"/>
            </w:tcBorders>
          </w:tcPr>
          <w:p>
            <w:pPr>
              <w:snapToGrid w:val="0"/>
              <w:spacing w:beforeLines="50" w:after="50"/>
              <w:rPr>
                <w:rFonts w:ascii="宋体" w:hAnsi="宋体"/>
                <w:color w:val="000000"/>
                <w:sz w:val="24"/>
              </w:rPr>
            </w:pPr>
          </w:p>
        </w:tc>
        <w:tc>
          <w:tcPr>
            <w:tcW w:w="1256" w:type="dxa"/>
            <w:tcBorders>
              <w:top w:val="single" w:color="auto" w:sz="4" w:space="0"/>
              <w:left w:val="single" w:color="auto" w:sz="4" w:space="0"/>
              <w:bottom w:val="single" w:color="auto" w:sz="4" w:space="0"/>
              <w:right w:val="single" w:color="auto" w:sz="4" w:space="0"/>
            </w:tcBorders>
          </w:tcPr>
          <w:p>
            <w:pPr>
              <w:snapToGrid w:val="0"/>
              <w:spacing w:beforeLines="50" w:after="5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pPr>
              <w:snapToGrid w:val="0"/>
              <w:spacing w:beforeLines="50" w:after="50"/>
              <w:rPr>
                <w:rFonts w:ascii="宋体" w:hAnsi="宋体"/>
                <w:color w:val="000000"/>
                <w:sz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after="50"/>
              <w:rPr>
                <w:rFonts w:ascii="宋体" w:hAnsi="宋体"/>
                <w:color w:val="000000"/>
                <w:sz w:val="24"/>
              </w:rPr>
            </w:pPr>
          </w:p>
        </w:tc>
        <w:tc>
          <w:tcPr>
            <w:tcW w:w="1668" w:type="dxa"/>
            <w:tcBorders>
              <w:top w:val="single" w:color="auto" w:sz="4" w:space="0"/>
              <w:left w:val="single" w:color="auto" w:sz="4" w:space="0"/>
              <w:bottom w:val="single" w:color="auto" w:sz="4" w:space="0"/>
              <w:right w:val="single" w:color="auto" w:sz="4" w:space="0"/>
            </w:tcBorders>
          </w:tcPr>
          <w:p>
            <w:pPr>
              <w:snapToGrid w:val="0"/>
              <w:spacing w:beforeLines="50" w:after="50"/>
              <w:ind w:left="5250" w:leftChars="2500"/>
              <w:rPr>
                <w:rFonts w:ascii="宋体" w:hAnsi="宋体" w:cs="Courier New"/>
                <w:color w:val="000000"/>
                <w:sz w:val="24"/>
              </w:rPr>
            </w:pPr>
          </w:p>
        </w:tc>
        <w:tc>
          <w:tcPr>
            <w:tcW w:w="2247" w:type="dxa"/>
            <w:tcBorders>
              <w:top w:val="single" w:color="auto" w:sz="4" w:space="0"/>
              <w:left w:val="single" w:color="auto" w:sz="4" w:space="0"/>
              <w:bottom w:val="single" w:color="auto" w:sz="4" w:space="0"/>
              <w:right w:val="single" w:color="auto" w:sz="4" w:space="0"/>
            </w:tcBorders>
          </w:tcPr>
          <w:p>
            <w:pPr>
              <w:snapToGrid w:val="0"/>
              <w:spacing w:beforeLines="50" w:after="50"/>
              <w:rPr>
                <w:rFonts w:ascii="宋体" w:hAnsi="宋体"/>
                <w:color w:val="000000"/>
                <w:sz w:val="24"/>
              </w:rPr>
            </w:pPr>
          </w:p>
        </w:tc>
        <w:tc>
          <w:tcPr>
            <w:tcW w:w="1256" w:type="dxa"/>
            <w:tcBorders>
              <w:top w:val="single" w:color="auto" w:sz="4" w:space="0"/>
              <w:left w:val="single" w:color="auto" w:sz="4" w:space="0"/>
              <w:bottom w:val="single" w:color="auto" w:sz="4" w:space="0"/>
              <w:right w:val="single" w:color="auto" w:sz="4" w:space="0"/>
            </w:tcBorders>
          </w:tcPr>
          <w:p>
            <w:pPr>
              <w:snapToGrid w:val="0"/>
              <w:spacing w:beforeLines="50" w:after="5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pPr>
              <w:snapToGrid w:val="0"/>
              <w:spacing w:beforeLines="50" w:after="50"/>
              <w:rPr>
                <w:rFonts w:ascii="宋体" w:hAnsi="宋体"/>
                <w:color w:val="000000"/>
                <w:sz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after="50"/>
              <w:rPr>
                <w:rFonts w:ascii="宋体" w:hAnsi="宋体"/>
                <w:color w:val="000000"/>
                <w:sz w:val="24"/>
              </w:rPr>
            </w:pPr>
          </w:p>
        </w:tc>
        <w:tc>
          <w:tcPr>
            <w:tcW w:w="1668" w:type="dxa"/>
            <w:tcBorders>
              <w:top w:val="single" w:color="auto" w:sz="4" w:space="0"/>
              <w:left w:val="single" w:color="auto" w:sz="4" w:space="0"/>
              <w:bottom w:val="single" w:color="auto" w:sz="4" w:space="0"/>
              <w:right w:val="single" w:color="auto" w:sz="4" w:space="0"/>
            </w:tcBorders>
          </w:tcPr>
          <w:p>
            <w:pPr>
              <w:snapToGrid w:val="0"/>
              <w:spacing w:beforeLines="50" w:after="50"/>
              <w:ind w:left="5250" w:leftChars="2500"/>
              <w:rPr>
                <w:rFonts w:ascii="宋体" w:hAnsi="宋体" w:cs="Courier New"/>
                <w:color w:val="000000"/>
                <w:sz w:val="24"/>
              </w:rPr>
            </w:pPr>
          </w:p>
        </w:tc>
        <w:tc>
          <w:tcPr>
            <w:tcW w:w="2247" w:type="dxa"/>
            <w:tcBorders>
              <w:top w:val="single" w:color="auto" w:sz="4" w:space="0"/>
              <w:left w:val="single" w:color="auto" w:sz="4" w:space="0"/>
              <w:bottom w:val="single" w:color="auto" w:sz="4" w:space="0"/>
              <w:right w:val="single" w:color="auto" w:sz="4" w:space="0"/>
            </w:tcBorders>
          </w:tcPr>
          <w:p>
            <w:pPr>
              <w:snapToGrid w:val="0"/>
              <w:spacing w:beforeLines="50" w:after="50"/>
              <w:rPr>
                <w:rFonts w:ascii="宋体" w:hAnsi="宋体"/>
                <w:color w:val="000000"/>
                <w:sz w:val="24"/>
              </w:rPr>
            </w:pPr>
          </w:p>
        </w:tc>
        <w:tc>
          <w:tcPr>
            <w:tcW w:w="1256" w:type="dxa"/>
            <w:tcBorders>
              <w:top w:val="single" w:color="auto" w:sz="4" w:space="0"/>
              <w:left w:val="single" w:color="auto" w:sz="4" w:space="0"/>
              <w:bottom w:val="single" w:color="auto" w:sz="4" w:space="0"/>
              <w:right w:val="single" w:color="auto" w:sz="4" w:space="0"/>
            </w:tcBorders>
          </w:tcPr>
          <w:p>
            <w:pPr>
              <w:snapToGrid w:val="0"/>
              <w:spacing w:beforeLines="50" w:after="5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pPr>
              <w:snapToGrid w:val="0"/>
              <w:spacing w:beforeLines="50" w:after="50"/>
              <w:rPr>
                <w:rFonts w:ascii="宋体" w:hAnsi="宋体"/>
                <w:color w:val="000000"/>
                <w:sz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after="50"/>
              <w:rPr>
                <w:rFonts w:ascii="宋体" w:hAnsi="宋体"/>
                <w:color w:val="000000"/>
                <w:sz w:val="24"/>
              </w:rPr>
            </w:pPr>
          </w:p>
        </w:tc>
        <w:tc>
          <w:tcPr>
            <w:tcW w:w="1668" w:type="dxa"/>
            <w:tcBorders>
              <w:top w:val="single" w:color="auto" w:sz="4" w:space="0"/>
              <w:left w:val="single" w:color="auto" w:sz="4" w:space="0"/>
              <w:bottom w:val="single" w:color="auto" w:sz="4" w:space="0"/>
              <w:right w:val="single" w:color="auto" w:sz="4" w:space="0"/>
            </w:tcBorders>
          </w:tcPr>
          <w:p>
            <w:pPr>
              <w:snapToGrid w:val="0"/>
              <w:spacing w:beforeLines="50" w:after="50"/>
              <w:ind w:left="5250" w:leftChars="2500"/>
              <w:rPr>
                <w:rFonts w:ascii="宋体" w:hAnsi="宋体" w:cs="Courier New"/>
                <w:color w:val="000000"/>
                <w:sz w:val="24"/>
              </w:rPr>
            </w:pPr>
          </w:p>
        </w:tc>
        <w:tc>
          <w:tcPr>
            <w:tcW w:w="2247" w:type="dxa"/>
            <w:tcBorders>
              <w:top w:val="single" w:color="auto" w:sz="4" w:space="0"/>
              <w:left w:val="single" w:color="auto" w:sz="4" w:space="0"/>
              <w:bottom w:val="single" w:color="auto" w:sz="4" w:space="0"/>
              <w:right w:val="single" w:color="auto" w:sz="4" w:space="0"/>
            </w:tcBorders>
          </w:tcPr>
          <w:p>
            <w:pPr>
              <w:snapToGrid w:val="0"/>
              <w:spacing w:beforeLines="50" w:after="50"/>
              <w:rPr>
                <w:rFonts w:ascii="宋体" w:hAnsi="宋体"/>
                <w:color w:val="000000"/>
                <w:sz w:val="24"/>
              </w:rPr>
            </w:pPr>
          </w:p>
        </w:tc>
        <w:tc>
          <w:tcPr>
            <w:tcW w:w="1256" w:type="dxa"/>
            <w:tcBorders>
              <w:top w:val="single" w:color="auto" w:sz="4" w:space="0"/>
              <w:left w:val="single" w:color="auto" w:sz="4" w:space="0"/>
              <w:bottom w:val="single" w:color="auto" w:sz="4" w:space="0"/>
              <w:right w:val="single" w:color="auto" w:sz="4" w:space="0"/>
            </w:tcBorders>
          </w:tcPr>
          <w:p>
            <w:pPr>
              <w:snapToGrid w:val="0"/>
              <w:spacing w:beforeLines="50" w:after="50"/>
              <w:rPr>
                <w:rFonts w:ascii="宋体" w:hAnsi="宋体"/>
                <w:color w:val="000000"/>
                <w:sz w:val="24"/>
              </w:rPr>
            </w:pPr>
          </w:p>
        </w:tc>
      </w:tr>
    </w:tbl>
    <w:p>
      <w:pPr>
        <w:snapToGrid w:val="0"/>
        <w:spacing w:before="50" w:afterLines="50" w:line="360" w:lineRule="auto"/>
        <w:ind w:firstLine="480"/>
        <w:jc w:val="left"/>
        <w:rPr>
          <w:rFonts w:ascii="宋体" w:hAnsi="宋体" w:cs="宋体"/>
          <w:b/>
          <w:color w:val="000000"/>
          <w:sz w:val="24"/>
        </w:rPr>
      </w:pPr>
      <w:r>
        <w:rPr>
          <w:rFonts w:hint="eastAsia" w:ascii="宋体" w:hAnsi="宋体" w:cs="宋体"/>
          <w:b/>
          <w:color w:val="000000"/>
          <w:sz w:val="24"/>
        </w:rPr>
        <w:t>第九条 违约责任</w:t>
      </w:r>
    </w:p>
    <w:p>
      <w:pPr>
        <w:snapToGrid w:val="0"/>
        <w:spacing w:line="360" w:lineRule="auto"/>
        <w:ind w:firstLine="480" w:firstLineChars="200"/>
        <w:rPr>
          <w:rFonts w:ascii="宋体" w:hAnsi="宋体" w:cs="宋体"/>
          <w:sz w:val="24"/>
        </w:rPr>
      </w:pPr>
      <w:r>
        <w:rPr>
          <w:rFonts w:ascii="宋体" w:hAnsi="宋体" w:cs="宋体"/>
          <w:sz w:val="24"/>
        </w:rPr>
        <w:t>1.</w:t>
      </w:r>
      <w:r>
        <w:rPr>
          <w:rFonts w:hint="eastAsia" w:ascii="宋体" w:hAnsi="宋体" w:cs="宋体"/>
          <w:sz w:val="24"/>
        </w:rPr>
        <w:t>甲方违约责任：</w:t>
      </w:r>
    </w:p>
    <w:p>
      <w:pPr>
        <w:snapToGrid w:val="0"/>
        <w:spacing w:line="360" w:lineRule="auto"/>
        <w:ind w:firstLine="480" w:firstLineChars="200"/>
        <w:rPr>
          <w:rFonts w:ascii="宋体" w:hAnsi="宋体" w:cs="宋体"/>
          <w:sz w:val="24"/>
        </w:rPr>
      </w:pPr>
      <w:r>
        <w:rPr>
          <w:rFonts w:hint="eastAsia" w:ascii="宋体" w:hAnsi="宋体" w:cs="宋体"/>
          <w:sz w:val="24"/>
        </w:rPr>
        <w:t>甲方逾期</w:t>
      </w:r>
      <w:r>
        <w:rPr>
          <w:rFonts w:ascii="宋体" w:hAnsi="宋体" w:cs="宋体"/>
          <w:sz w:val="24"/>
        </w:rPr>
        <w:t>30</w:t>
      </w:r>
      <w:r>
        <w:rPr>
          <w:rFonts w:hint="eastAsia" w:ascii="宋体" w:hAnsi="宋体" w:cs="宋体"/>
          <w:sz w:val="24"/>
        </w:rPr>
        <w:t>个工作日以上向乙方支付合同金额，造成项目工作停滞、延误的，甲方应承担项目合同金额</w:t>
      </w:r>
      <w:r>
        <w:rPr>
          <w:rFonts w:ascii="宋体" w:hAnsi="宋体" w:cs="宋体"/>
          <w:sz w:val="24"/>
        </w:rPr>
        <w:t>5%</w:t>
      </w:r>
      <w:r>
        <w:rPr>
          <w:rFonts w:hint="eastAsia" w:ascii="宋体" w:hAnsi="宋体" w:cs="宋体"/>
          <w:sz w:val="24"/>
        </w:rPr>
        <w:t>的违约金。</w:t>
      </w:r>
    </w:p>
    <w:p>
      <w:pPr>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乙方违约责任：</w:t>
      </w:r>
    </w:p>
    <w:p>
      <w:pPr>
        <w:snapToGrid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）出现以下情况之一的，甲方有权终止合同，乙方应承担项目合同金额5</w:t>
      </w:r>
      <w:r>
        <w:rPr>
          <w:rFonts w:ascii="宋体" w:hAnsi="宋体" w:cs="宋体"/>
          <w:sz w:val="24"/>
        </w:rPr>
        <w:t>%</w:t>
      </w:r>
      <w:r>
        <w:rPr>
          <w:rFonts w:hint="eastAsia" w:ascii="宋体" w:hAnsi="宋体" w:cs="宋体"/>
          <w:sz w:val="24"/>
        </w:rPr>
        <w:t>的违约金：</w:t>
      </w:r>
    </w:p>
    <w:p>
      <w:pPr>
        <w:snapToGrid w:val="0"/>
        <w:spacing w:line="360" w:lineRule="auto"/>
        <w:ind w:firstLine="480" w:firstLineChars="200"/>
        <w:rPr>
          <w:rFonts w:ascii="宋体" w:hAnsi="宋体" w:cs="宋体"/>
          <w:sz w:val="24"/>
        </w:rPr>
      </w:pPr>
      <w:r>
        <w:rPr>
          <w:rFonts w:ascii="宋体" w:hAnsi="宋体" w:cs="宋体"/>
          <w:sz w:val="24"/>
        </w:rPr>
        <w:t>a.</w:t>
      </w:r>
      <w:r>
        <w:rPr>
          <w:rFonts w:hint="eastAsia" w:ascii="宋体" w:hAnsi="宋体" w:cs="宋体"/>
          <w:sz w:val="24"/>
        </w:rPr>
        <w:t>乙方未能按合同交付时间交付完整服务内容资料的；</w:t>
      </w:r>
    </w:p>
    <w:p>
      <w:pPr>
        <w:snapToGrid w:val="0"/>
        <w:spacing w:line="360" w:lineRule="auto"/>
        <w:ind w:firstLine="480" w:firstLineChars="200"/>
        <w:rPr>
          <w:rFonts w:ascii="宋体" w:hAnsi="宋体" w:cs="宋体"/>
          <w:sz w:val="24"/>
        </w:rPr>
      </w:pPr>
      <w:r>
        <w:rPr>
          <w:rFonts w:ascii="宋体" w:hAnsi="宋体" w:cs="宋体"/>
          <w:sz w:val="24"/>
        </w:rPr>
        <w:t>b.</w:t>
      </w:r>
      <w:r>
        <w:rPr>
          <w:rFonts w:hint="eastAsia" w:ascii="宋体" w:hAnsi="宋体" w:cs="宋体"/>
          <w:sz w:val="24"/>
        </w:rPr>
        <w:t>乙方未能按响应资料和甲方书面需求提供服务，甲方书面提出整改要求后，乙方仍不整改的；</w:t>
      </w:r>
    </w:p>
    <w:p>
      <w:pPr>
        <w:snapToGrid w:val="0"/>
        <w:spacing w:line="360" w:lineRule="auto"/>
        <w:ind w:firstLine="480" w:firstLineChars="200"/>
        <w:rPr>
          <w:rFonts w:ascii="宋体" w:hAnsi="宋体" w:cs="宋体"/>
          <w:sz w:val="24"/>
        </w:rPr>
      </w:pPr>
      <w:r>
        <w:rPr>
          <w:rFonts w:ascii="宋体" w:hAnsi="宋体" w:cs="宋体"/>
          <w:sz w:val="24"/>
        </w:rPr>
        <w:t>c.</w:t>
      </w:r>
      <w:r>
        <w:rPr>
          <w:rFonts w:hint="eastAsia" w:ascii="宋体" w:hAnsi="宋体" w:cs="宋体"/>
          <w:sz w:val="24"/>
        </w:rPr>
        <w:t>乙方未经甲方同意擅自变更设计团队人员构成的；</w:t>
      </w:r>
    </w:p>
    <w:p>
      <w:pPr>
        <w:snapToGrid w:val="0"/>
        <w:spacing w:line="360" w:lineRule="auto"/>
        <w:ind w:firstLine="480" w:firstLineChars="200"/>
        <w:rPr>
          <w:rFonts w:ascii="宋体" w:hAnsi="宋体" w:cs="宋体"/>
          <w:sz w:val="24"/>
        </w:rPr>
      </w:pPr>
      <w:r>
        <w:rPr>
          <w:rFonts w:ascii="宋体" w:hAnsi="宋体" w:cs="宋体"/>
          <w:sz w:val="24"/>
        </w:rPr>
        <w:t>d.</w:t>
      </w:r>
      <w:r>
        <w:rPr>
          <w:rFonts w:hint="eastAsia" w:ascii="宋体" w:hAnsi="宋体" w:cs="宋体"/>
          <w:sz w:val="24"/>
        </w:rPr>
        <w:t>乙方不配合甲方进行工作指导和验收的；</w:t>
      </w:r>
    </w:p>
    <w:p>
      <w:pPr>
        <w:snapToGrid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）乙方所提供的服务质量不合格的，应及时调整，调整不及时的按逾期交货处罚；因质量问题甲方不同意接收的或特殊情况甲方同意接收的，乙方应向甲方支付违约合同额</w:t>
      </w:r>
      <w:r>
        <w:rPr>
          <w:rFonts w:ascii="宋体" w:hAnsi="宋体" w:cs="宋体"/>
          <w:sz w:val="24"/>
        </w:rPr>
        <w:t xml:space="preserve"> 5%</w:t>
      </w:r>
      <w:r>
        <w:rPr>
          <w:rFonts w:hint="eastAsia" w:ascii="宋体" w:hAnsi="宋体" w:cs="宋体"/>
          <w:sz w:val="24"/>
        </w:rPr>
        <w:t>违约金并赔偿甲方经济损失；</w:t>
      </w:r>
    </w:p>
    <w:p>
      <w:pPr>
        <w:snapToGrid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）乙方提供的服务如侵犯了第三方合法权益而引发的任何纠纷或诉讼，均由乙方负责交涉并承担全部责任；</w:t>
      </w:r>
    </w:p>
    <w:p>
      <w:pPr>
        <w:snapToGrid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）乙方逾期完成的，每天向甲方偿付违约合同金额</w:t>
      </w:r>
      <w:r>
        <w:rPr>
          <w:rFonts w:ascii="宋体" w:hAnsi="宋体" w:cs="宋体"/>
          <w:sz w:val="24"/>
        </w:rPr>
        <w:t xml:space="preserve"> 3</w:t>
      </w:r>
      <w:r>
        <w:rPr>
          <w:rFonts w:hint="eastAsia" w:ascii="宋体" w:hAnsi="宋体" w:cs="宋体"/>
          <w:sz w:val="24"/>
        </w:rPr>
        <w:t>‰违约金，但违约金累计不得超过违约合同金额</w:t>
      </w:r>
      <w:r>
        <w:rPr>
          <w:rFonts w:ascii="宋体" w:hAnsi="宋体" w:cs="宋体"/>
          <w:sz w:val="24"/>
        </w:rPr>
        <w:t xml:space="preserve"> 5%</w:t>
      </w:r>
      <w:r>
        <w:rPr>
          <w:rFonts w:hint="eastAsia" w:ascii="宋体" w:hAnsi="宋体" w:cs="宋体"/>
          <w:sz w:val="24"/>
        </w:rPr>
        <w:t>，超过</w:t>
      </w:r>
      <w:r>
        <w:rPr>
          <w:rFonts w:ascii="宋体" w:hAnsi="宋体" w:cs="宋体"/>
          <w:sz w:val="24"/>
        </w:rPr>
        <w:t>10</w:t>
      </w:r>
      <w:r>
        <w:rPr>
          <w:rFonts w:hint="eastAsia" w:ascii="宋体" w:hAnsi="宋体" w:cs="宋体"/>
          <w:sz w:val="24"/>
        </w:rPr>
        <w:t>天甲方有权解除合同，违约方承担因此给对方造成的经济损失；</w:t>
      </w:r>
    </w:p>
    <w:p>
      <w:pPr>
        <w:snapToGrid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）其它违约行为按违约合同额</w:t>
      </w:r>
      <w:r>
        <w:rPr>
          <w:rFonts w:ascii="宋体" w:hAnsi="宋体" w:cs="宋体"/>
          <w:sz w:val="24"/>
        </w:rPr>
        <w:t xml:space="preserve"> 5%</w:t>
      </w:r>
      <w:r>
        <w:rPr>
          <w:rFonts w:hint="eastAsia" w:ascii="宋体" w:hAnsi="宋体" w:cs="宋体"/>
          <w:sz w:val="24"/>
        </w:rPr>
        <w:t>收取违约金并赔偿经济损失。</w:t>
      </w:r>
    </w:p>
    <w:p>
      <w:pPr>
        <w:snapToGrid w:val="0"/>
        <w:spacing w:line="360" w:lineRule="auto"/>
        <w:ind w:firstLine="482" w:firstLineChars="200"/>
        <w:rPr>
          <w:rFonts w:ascii="宋体" w:hAnsi="宋体" w:cs="宋体"/>
          <w:b/>
          <w:color w:val="000000"/>
          <w:sz w:val="24"/>
        </w:rPr>
      </w:pPr>
      <w:r>
        <w:rPr>
          <w:rFonts w:hint="eastAsia" w:ascii="宋体" w:hAnsi="宋体" w:cs="宋体"/>
          <w:b/>
          <w:color w:val="000000"/>
          <w:sz w:val="24"/>
        </w:rPr>
        <w:t>第十条不可抗拒力事件处理</w:t>
      </w:r>
    </w:p>
    <w:p>
      <w:pPr>
        <w:snapToGrid w:val="0"/>
        <w:spacing w:line="360" w:lineRule="auto"/>
        <w:ind w:firstLine="480" w:firstLineChars="200"/>
        <w:rPr>
          <w:rFonts w:ascii="宋体" w:hAnsi="宋体" w:cs="宋体"/>
          <w:color w:val="000000"/>
          <w:sz w:val="24"/>
        </w:rPr>
      </w:pPr>
      <w:r>
        <w:rPr>
          <w:rFonts w:ascii="宋体" w:hAnsi="宋体" w:cs="宋体"/>
          <w:color w:val="000000"/>
          <w:sz w:val="24"/>
        </w:rPr>
        <w:t>1.</w:t>
      </w:r>
      <w:r>
        <w:rPr>
          <w:rFonts w:hint="eastAsia" w:ascii="宋体" w:hAnsi="宋体" w:cs="宋体"/>
          <w:color w:val="000000"/>
          <w:sz w:val="24"/>
        </w:rPr>
        <w:t>在合同有效期内，任何一方因不可抗力事件导致不能履行合同，则合同履行期可延长，其延长期与不可抗力影响期相同。</w:t>
      </w:r>
    </w:p>
    <w:p>
      <w:pPr>
        <w:snapToGrid w:val="0"/>
        <w:spacing w:line="360" w:lineRule="auto"/>
        <w:ind w:firstLine="480" w:firstLineChars="200"/>
        <w:rPr>
          <w:rFonts w:ascii="宋体" w:hAnsi="宋体" w:cs="宋体"/>
          <w:color w:val="000000"/>
          <w:sz w:val="24"/>
        </w:rPr>
      </w:pPr>
      <w:r>
        <w:rPr>
          <w:rFonts w:ascii="宋体" w:hAnsi="宋体" w:cs="宋体"/>
          <w:color w:val="000000"/>
          <w:sz w:val="24"/>
        </w:rPr>
        <w:t>2.</w:t>
      </w:r>
      <w:r>
        <w:rPr>
          <w:rFonts w:hint="eastAsia" w:ascii="宋体" w:hAnsi="宋体" w:cs="宋体"/>
          <w:color w:val="000000"/>
          <w:sz w:val="24"/>
        </w:rPr>
        <w:t>不可抗力事件发生后，应立即通知对方，并寄送有关权威机构出具的证明。</w:t>
      </w:r>
    </w:p>
    <w:p>
      <w:pPr>
        <w:snapToGrid w:val="0"/>
        <w:spacing w:line="360" w:lineRule="auto"/>
        <w:ind w:firstLine="480" w:firstLineChars="200"/>
        <w:rPr>
          <w:rFonts w:ascii="宋体" w:hAnsi="宋体" w:cs="宋体"/>
          <w:color w:val="000000"/>
          <w:sz w:val="24"/>
        </w:rPr>
      </w:pPr>
      <w:r>
        <w:rPr>
          <w:rFonts w:ascii="宋体" w:hAnsi="宋体" w:cs="宋体"/>
          <w:color w:val="000000"/>
          <w:sz w:val="24"/>
        </w:rPr>
        <w:t>3.</w:t>
      </w:r>
      <w:r>
        <w:rPr>
          <w:rFonts w:hint="eastAsia" w:ascii="宋体" w:hAnsi="宋体" w:cs="宋体"/>
          <w:color w:val="000000"/>
          <w:sz w:val="24"/>
        </w:rPr>
        <w:t>不可抗力事件延续一百二十天以上，双方应通过友好协商，确定是否继续履行合同。</w:t>
      </w:r>
    </w:p>
    <w:p>
      <w:pPr>
        <w:snapToGrid w:val="0"/>
        <w:spacing w:line="360" w:lineRule="auto"/>
        <w:ind w:firstLine="482" w:firstLineChars="200"/>
        <w:rPr>
          <w:rFonts w:ascii="宋体" w:hAnsi="宋体" w:cs="宋体"/>
          <w:b/>
          <w:color w:val="000000"/>
          <w:sz w:val="24"/>
        </w:rPr>
      </w:pPr>
      <w:r>
        <w:rPr>
          <w:rFonts w:hint="eastAsia" w:ascii="宋体" w:hAnsi="宋体" w:cs="宋体"/>
          <w:b/>
          <w:color w:val="000000"/>
          <w:sz w:val="24"/>
        </w:rPr>
        <w:t>第十一条 合同争议解决</w:t>
      </w:r>
    </w:p>
    <w:p>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因履行本合同引起的或与本合同有关的争议，甲乙双方应首先通过友好协商解决，如果协商不能解决，向南宁仲裁委员会申请仲裁。</w:t>
      </w:r>
    </w:p>
    <w:p>
      <w:pPr>
        <w:snapToGrid w:val="0"/>
        <w:spacing w:line="360" w:lineRule="auto"/>
        <w:ind w:firstLine="482" w:firstLineChars="200"/>
        <w:rPr>
          <w:rFonts w:ascii="宋体" w:hAnsi="宋体" w:cs="宋体"/>
          <w:b/>
          <w:color w:val="000000"/>
          <w:sz w:val="24"/>
        </w:rPr>
      </w:pPr>
      <w:r>
        <w:rPr>
          <w:rFonts w:hint="eastAsia" w:ascii="宋体" w:hAnsi="宋体" w:cs="宋体"/>
          <w:b/>
          <w:color w:val="000000"/>
          <w:sz w:val="24"/>
        </w:rPr>
        <w:t>第十二条 合同生效及其它</w:t>
      </w:r>
    </w:p>
    <w:p>
      <w:pPr>
        <w:snapToGrid w:val="0"/>
        <w:spacing w:line="360" w:lineRule="auto"/>
        <w:ind w:firstLine="480" w:firstLineChars="200"/>
        <w:rPr>
          <w:rFonts w:ascii="宋体" w:hAnsi="宋体" w:cs="宋体"/>
          <w:color w:val="000000"/>
          <w:sz w:val="24"/>
        </w:rPr>
      </w:pPr>
      <w:r>
        <w:rPr>
          <w:rFonts w:ascii="宋体" w:hAnsi="宋体" w:cs="宋体"/>
          <w:color w:val="000000"/>
          <w:sz w:val="24"/>
        </w:rPr>
        <w:t>1.</w:t>
      </w:r>
      <w:r>
        <w:rPr>
          <w:rFonts w:hint="eastAsia" w:ascii="宋体" w:hAnsi="宋体" w:cs="宋体"/>
          <w:color w:val="000000"/>
          <w:sz w:val="24"/>
        </w:rPr>
        <w:t>合同经双方法定代表人（负责人）或授权代表签字并加盖单位公章后生效。</w:t>
      </w:r>
    </w:p>
    <w:p>
      <w:pPr>
        <w:snapToGrid w:val="0"/>
        <w:spacing w:line="360" w:lineRule="auto"/>
        <w:ind w:firstLine="480" w:firstLineChars="200"/>
        <w:rPr>
          <w:rFonts w:ascii="宋体" w:hAnsi="宋体" w:cs="宋体"/>
          <w:color w:val="000000"/>
          <w:sz w:val="24"/>
        </w:rPr>
      </w:pPr>
      <w:r>
        <w:rPr>
          <w:rFonts w:ascii="宋体" w:hAnsi="宋体" w:cs="宋体"/>
          <w:color w:val="000000"/>
          <w:sz w:val="24"/>
        </w:rPr>
        <w:t>2.</w:t>
      </w:r>
      <w:r>
        <w:rPr>
          <w:rFonts w:hint="eastAsia" w:ascii="宋体" w:hAnsi="宋体" w:cs="宋体"/>
          <w:color w:val="000000"/>
          <w:sz w:val="24"/>
        </w:rPr>
        <w:t>本合同未尽事宜，遵照《合同法》有关条文执行。</w:t>
      </w:r>
    </w:p>
    <w:p>
      <w:pPr>
        <w:snapToGrid w:val="0"/>
        <w:spacing w:line="360" w:lineRule="auto"/>
        <w:ind w:firstLine="482" w:firstLineChars="200"/>
        <w:rPr>
          <w:rFonts w:ascii="宋体" w:hAnsi="宋体" w:cs="宋体"/>
          <w:b/>
          <w:color w:val="000000"/>
          <w:sz w:val="24"/>
        </w:rPr>
      </w:pPr>
      <w:r>
        <w:rPr>
          <w:rFonts w:hint="eastAsia" w:ascii="宋体" w:hAnsi="宋体" w:cs="宋体"/>
          <w:b/>
          <w:color w:val="000000"/>
          <w:sz w:val="24"/>
        </w:rPr>
        <w:t>第十三条 合同的变更、终止与转让</w:t>
      </w:r>
    </w:p>
    <w:p>
      <w:pPr>
        <w:snapToGrid w:val="0"/>
        <w:spacing w:line="360" w:lineRule="auto"/>
        <w:ind w:firstLine="480" w:firstLineChars="200"/>
        <w:rPr>
          <w:rFonts w:ascii="宋体" w:hAnsi="宋体" w:cs="宋体"/>
          <w:color w:val="000000"/>
          <w:sz w:val="24"/>
        </w:rPr>
      </w:pPr>
      <w:r>
        <w:rPr>
          <w:rFonts w:ascii="宋体" w:hAnsi="宋体" w:cs="宋体"/>
          <w:color w:val="000000"/>
          <w:sz w:val="24"/>
        </w:rPr>
        <w:t>1.</w:t>
      </w:r>
      <w:r>
        <w:rPr>
          <w:rFonts w:hint="eastAsia" w:ascii="宋体" w:hAnsi="宋体" w:cs="宋体"/>
          <w:color w:val="000000"/>
          <w:sz w:val="24"/>
        </w:rPr>
        <w:t>除《中华人民共和国政府采购法》第五十条规定的情形外，本合同一经签订，甲乙双方不得擅自变更、中止或终止。</w:t>
      </w:r>
    </w:p>
    <w:p>
      <w:pPr>
        <w:snapToGrid w:val="0"/>
        <w:spacing w:line="360" w:lineRule="auto"/>
        <w:ind w:firstLine="480" w:firstLineChars="200"/>
        <w:rPr>
          <w:rFonts w:ascii="宋体" w:hAnsi="宋体" w:cs="宋体"/>
          <w:color w:val="000000"/>
          <w:sz w:val="24"/>
        </w:rPr>
      </w:pPr>
      <w:r>
        <w:rPr>
          <w:rFonts w:ascii="宋体" w:hAnsi="宋体" w:cs="宋体"/>
          <w:color w:val="000000"/>
          <w:sz w:val="24"/>
        </w:rPr>
        <w:t>2.</w:t>
      </w:r>
      <w:r>
        <w:rPr>
          <w:rFonts w:hint="eastAsia" w:ascii="宋体" w:hAnsi="宋体" w:cs="宋体"/>
          <w:color w:val="000000"/>
          <w:sz w:val="24"/>
        </w:rPr>
        <w:t>乙方不得擅自转让其应履行的合同义务。</w:t>
      </w:r>
    </w:p>
    <w:p>
      <w:pPr>
        <w:snapToGrid w:val="0"/>
        <w:spacing w:line="360" w:lineRule="auto"/>
        <w:ind w:firstLine="482" w:firstLineChars="200"/>
        <w:rPr>
          <w:rFonts w:ascii="宋体" w:hAnsi="宋体" w:cs="宋体"/>
          <w:b/>
          <w:color w:val="000000"/>
          <w:sz w:val="24"/>
        </w:rPr>
      </w:pPr>
      <w:r>
        <w:rPr>
          <w:rFonts w:hint="eastAsia" w:ascii="宋体" w:hAnsi="宋体" w:cs="宋体"/>
          <w:b/>
          <w:color w:val="000000"/>
          <w:sz w:val="24"/>
        </w:rPr>
        <w:t>第十四条签订本合同依据</w:t>
      </w:r>
    </w:p>
    <w:p>
      <w:pPr>
        <w:snapToGrid w:val="0"/>
        <w:spacing w:line="360" w:lineRule="auto"/>
        <w:ind w:firstLine="480" w:firstLineChars="200"/>
        <w:rPr>
          <w:rFonts w:ascii="宋体" w:hAnsi="宋体" w:cs="宋体"/>
          <w:color w:val="000000"/>
          <w:sz w:val="24"/>
        </w:rPr>
      </w:pPr>
      <w:r>
        <w:rPr>
          <w:rFonts w:ascii="宋体" w:hAnsi="宋体" w:cs="宋体"/>
          <w:color w:val="000000"/>
          <w:sz w:val="24"/>
        </w:rPr>
        <w:t>1.</w:t>
      </w:r>
      <w:r>
        <w:rPr>
          <w:rFonts w:hint="eastAsia" w:ascii="宋体" w:hAnsi="宋体" w:cs="宋体"/>
          <w:color w:val="000000"/>
          <w:sz w:val="24"/>
        </w:rPr>
        <w:t>采购文件；</w:t>
      </w:r>
    </w:p>
    <w:p>
      <w:pPr>
        <w:snapToGrid w:val="0"/>
        <w:spacing w:line="360" w:lineRule="auto"/>
        <w:ind w:firstLine="480" w:firstLineChars="200"/>
        <w:rPr>
          <w:rFonts w:ascii="宋体" w:hAnsi="宋体" w:cs="宋体"/>
          <w:color w:val="000000"/>
          <w:sz w:val="24"/>
        </w:rPr>
      </w:pPr>
      <w:r>
        <w:rPr>
          <w:rFonts w:ascii="宋体" w:hAnsi="宋体" w:cs="宋体"/>
          <w:color w:val="000000"/>
          <w:sz w:val="24"/>
        </w:rPr>
        <w:t>2.</w:t>
      </w:r>
      <w:r>
        <w:rPr>
          <w:rFonts w:hint="eastAsia" w:ascii="宋体" w:hAnsi="宋体" w:cs="宋体"/>
          <w:color w:val="000000"/>
          <w:sz w:val="24"/>
        </w:rPr>
        <w:t xml:space="preserve"> 乙方提供的响应文件。</w:t>
      </w:r>
    </w:p>
    <w:p>
      <w:pPr>
        <w:snapToGrid w:val="0"/>
        <w:spacing w:line="360" w:lineRule="auto"/>
        <w:ind w:firstLine="482" w:firstLineChars="200"/>
        <w:rPr>
          <w:rFonts w:ascii="宋体" w:hAnsi="宋体" w:cs="宋体"/>
          <w:b/>
          <w:color w:val="000000"/>
          <w:sz w:val="24"/>
        </w:rPr>
      </w:pPr>
      <w:r>
        <w:rPr>
          <w:rFonts w:hint="eastAsia" w:ascii="宋体" w:hAnsi="宋体" w:cs="宋体"/>
          <w:b/>
          <w:color w:val="000000"/>
          <w:sz w:val="24"/>
        </w:rPr>
        <w:t>第十五条其它</w:t>
      </w:r>
    </w:p>
    <w:p>
      <w:pPr>
        <w:snapToGrid w:val="0"/>
        <w:spacing w:line="360" w:lineRule="auto"/>
        <w:ind w:firstLine="480" w:firstLineChars="200"/>
        <w:rPr>
          <w:rFonts w:ascii="宋体" w:hAnsi="宋体" w:cs="宋体"/>
          <w:color w:val="000000"/>
          <w:sz w:val="24"/>
        </w:rPr>
      </w:pPr>
      <w:r>
        <w:rPr>
          <w:rFonts w:ascii="宋体" w:hAnsi="宋体" w:cs="宋体"/>
          <w:color w:val="000000"/>
          <w:sz w:val="24"/>
        </w:rPr>
        <w:t>1.</w:t>
      </w:r>
      <w:r>
        <w:rPr>
          <w:rFonts w:hint="eastAsia" w:ascii="宋体" w:hAnsi="宋体" w:cs="宋体"/>
          <w:color w:val="000000"/>
          <w:sz w:val="24"/>
        </w:rPr>
        <w:t>本合同一式柒份，具有同等法律效力，甲方执伍份，乙方执贰份。</w:t>
      </w:r>
    </w:p>
    <w:p>
      <w:pPr>
        <w:snapToGrid w:val="0"/>
        <w:spacing w:line="360" w:lineRule="auto"/>
        <w:ind w:firstLine="480" w:firstLineChars="200"/>
        <w:rPr>
          <w:rFonts w:ascii="宋体" w:hAnsi="宋体" w:cs="宋体"/>
          <w:color w:val="000000"/>
          <w:sz w:val="24"/>
        </w:rPr>
      </w:pPr>
      <w:r>
        <w:rPr>
          <w:rFonts w:ascii="宋体" w:hAnsi="宋体" w:cs="宋体"/>
          <w:color w:val="000000"/>
          <w:sz w:val="24"/>
        </w:rPr>
        <w:t>2.</w:t>
      </w:r>
      <w:r>
        <w:rPr>
          <w:rFonts w:hint="eastAsia" w:ascii="宋体" w:hAnsi="宋体" w:cs="宋体"/>
          <w:color w:val="000000"/>
          <w:sz w:val="24"/>
        </w:rPr>
        <w:t>本合同甲乙双方签字盖章后生效。</w:t>
      </w:r>
    </w:p>
    <w:p>
      <w:pPr>
        <w:pStyle w:val="7"/>
        <w:rPr>
          <w:color w:val="000000"/>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000000"/>
                <w:sz w:val="24"/>
              </w:rPr>
            </w:pPr>
            <w:r>
              <w:rPr>
                <w:rFonts w:hint="eastAsia" w:ascii="宋体" w:hAnsi="宋体" w:cs="宋体"/>
                <w:color w:val="000000"/>
                <w:sz w:val="24"/>
              </w:rPr>
              <w:t xml:space="preserve">甲方（章）           </w:t>
            </w:r>
          </w:p>
          <w:p>
            <w:pPr>
              <w:snapToGrid w:val="0"/>
              <w:spacing w:line="360" w:lineRule="auto"/>
              <w:rPr>
                <w:rFonts w:ascii="宋体" w:hAnsi="宋体" w:cs="宋体"/>
                <w:color w:val="000000"/>
                <w:sz w:val="24"/>
              </w:rPr>
            </w:pPr>
          </w:p>
          <w:p>
            <w:pPr>
              <w:wordWrap w:val="0"/>
              <w:snapToGrid w:val="0"/>
              <w:spacing w:line="360" w:lineRule="auto"/>
              <w:ind w:right="480" w:firstLine="1080" w:firstLineChars="450"/>
              <w:jc w:val="right"/>
              <w:rPr>
                <w:rFonts w:ascii="宋体" w:hAnsi="宋体" w:cs="宋体"/>
                <w:color w:val="000000"/>
                <w:sz w:val="24"/>
              </w:rPr>
            </w:pPr>
            <w:r>
              <w:rPr>
                <w:rFonts w:hint="eastAsia" w:ascii="宋体" w:hAnsi="宋体" w:cs="宋体"/>
                <w:color w:val="000000"/>
                <w:sz w:val="24"/>
              </w:rPr>
              <w:t>年  月  日</w:t>
            </w:r>
          </w:p>
        </w:tc>
        <w:tc>
          <w:tcPr>
            <w:tcW w:w="451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000000"/>
                <w:sz w:val="24"/>
              </w:rPr>
            </w:pPr>
            <w:r>
              <w:rPr>
                <w:rFonts w:hint="eastAsia" w:ascii="宋体" w:hAnsi="宋体" w:cs="宋体"/>
                <w:color w:val="000000"/>
                <w:sz w:val="24"/>
              </w:rPr>
              <w:t xml:space="preserve">乙方（章）              </w:t>
            </w:r>
          </w:p>
          <w:p>
            <w:pPr>
              <w:snapToGrid w:val="0"/>
              <w:spacing w:line="360" w:lineRule="auto"/>
              <w:rPr>
                <w:rFonts w:ascii="宋体" w:hAnsi="宋体" w:cs="宋体"/>
                <w:color w:val="000000"/>
                <w:sz w:val="24"/>
              </w:rPr>
            </w:pPr>
          </w:p>
          <w:p>
            <w:pPr>
              <w:snapToGrid w:val="0"/>
              <w:spacing w:line="360" w:lineRule="auto"/>
              <w:ind w:right="480"/>
              <w:rPr>
                <w:rFonts w:ascii="宋体" w:hAnsi="宋体" w:cs="宋体"/>
                <w:color w:val="000000"/>
                <w:sz w:val="24"/>
              </w:rPr>
            </w:pPr>
            <w:r>
              <w:rPr>
                <w:rFonts w:hint="eastAsia" w:ascii="宋体" w:hAnsi="宋体" w:cs="宋体"/>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000000"/>
                <w:sz w:val="24"/>
              </w:rPr>
            </w:pPr>
            <w:r>
              <w:rPr>
                <w:rFonts w:hint="eastAsia" w:ascii="宋体" w:hAnsi="宋体" w:cs="宋体"/>
                <w:color w:val="000000"/>
                <w:sz w:val="24"/>
              </w:rPr>
              <w:t>单位地址：</w:t>
            </w:r>
          </w:p>
        </w:tc>
        <w:tc>
          <w:tcPr>
            <w:tcW w:w="451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000000"/>
                <w:sz w:val="24"/>
              </w:rPr>
            </w:pPr>
            <w:r>
              <w:rPr>
                <w:rFonts w:hint="eastAsia" w:ascii="宋体" w:hAnsi="宋体" w:cs="宋体"/>
                <w:color w:val="000000"/>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000000"/>
                <w:sz w:val="24"/>
              </w:rPr>
            </w:pPr>
            <w:r>
              <w:rPr>
                <w:rFonts w:hint="eastAsia" w:ascii="宋体" w:hAnsi="宋体" w:cs="宋体"/>
                <w:color w:val="000000"/>
                <w:sz w:val="24"/>
              </w:rPr>
              <w:t>法定代表人：</w:t>
            </w:r>
          </w:p>
        </w:tc>
        <w:tc>
          <w:tcPr>
            <w:tcW w:w="451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000000"/>
                <w:sz w:val="24"/>
              </w:rPr>
            </w:pPr>
            <w:r>
              <w:rPr>
                <w:rFonts w:hint="eastAsia" w:ascii="宋体" w:hAnsi="宋体" w:cs="宋体"/>
                <w:color w:val="000000"/>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000000"/>
                <w:sz w:val="24"/>
              </w:rPr>
            </w:pPr>
            <w:r>
              <w:rPr>
                <w:rFonts w:hint="eastAsia" w:ascii="宋体" w:hAnsi="宋体" w:cs="宋体"/>
                <w:color w:val="000000"/>
                <w:sz w:val="24"/>
              </w:rPr>
              <w:t>委托代理人：</w:t>
            </w:r>
          </w:p>
        </w:tc>
        <w:tc>
          <w:tcPr>
            <w:tcW w:w="451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000000"/>
                <w:sz w:val="24"/>
              </w:rPr>
            </w:pPr>
            <w:r>
              <w:rPr>
                <w:rFonts w:hint="eastAsia" w:ascii="宋体" w:hAnsi="宋体" w:cs="宋体"/>
                <w:color w:val="000000"/>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000000"/>
                <w:sz w:val="24"/>
              </w:rPr>
            </w:pPr>
            <w:r>
              <w:rPr>
                <w:rFonts w:hint="eastAsia" w:ascii="宋体" w:hAnsi="宋体" w:cs="宋体"/>
                <w:color w:val="000000"/>
                <w:sz w:val="24"/>
              </w:rPr>
              <w:t>电话：</w:t>
            </w:r>
          </w:p>
        </w:tc>
        <w:tc>
          <w:tcPr>
            <w:tcW w:w="451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000000"/>
                <w:sz w:val="24"/>
              </w:rPr>
            </w:pPr>
            <w:r>
              <w:rPr>
                <w:rFonts w:hint="eastAsia" w:ascii="宋体" w:hAnsi="宋体" w:cs="宋体"/>
                <w:color w:val="000000"/>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000000"/>
                <w:sz w:val="24"/>
              </w:rPr>
            </w:pPr>
            <w:r>
              <w:rPr>
                <w:rFonts w:hint="eastAsia" w:ascii="宋体" w:hAnsi="宋体" w:cs="宋体"/>
                <w:color w:val="000000"/>
                <w:sz w:val="24"/>
              </w:rPr>
              <w:t>电子邮箱：</w:t>
            </w:r>
          </w:p>
        </w:tc>
        <w:tc>
          <w:tcPr>
            <w:tcW w:w="451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000000"/>
                <w:sz w:val="24"/>
              </w:rPr>
            </w:pPr>
            <w:r>
              <w:rPr>
                <w:rFonts w:hint="eastAsia" w:ascii="宋体" w:hAnsi="宋体" w:cs="宋体"/>
                <w:color w:val="000000"/>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000000"/>
                <w:sz w:val="24"/>
              </w:rPr>
            </w:pPr>
            <w:r>
              <w:rPr>
                <w:rFonts w:hint="eastAsia" w:ascii="宋体" w:hAnsi="宋体" w:cs="宋体"/>
                <w:color w:val="000000"/>
                <w:sz w:val="24"/>
              </w:rPr>
              <w:t>开户银行：</w:t>
            </w:r>
          </w:p>
        </w:tc>
        <w:tc>
          <w:tcPr>
            <w:tcW w:w="451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000000"/>
                <w:sz w:val="24"/>
              </w:rPr>
            </w:pPr>
            <w:r>
              <w:rPr>
                <w:rFonts w:hint="eastAsia" w:ascii="宋体" w:hAnsi="宋体" w:cs="宋体"/>
                <w:color w:val="000000"/>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000000"/>
                <w:sz w:val="24"/>
              </w:rPr>
            </w:pPr>
            <w:r>
              <w:rPr>
                <w:rFonts w:hint="eastAsia" w:ascii="宋体" w:hAnsi="宋体" w:cs="宋体"/>
                <w:color w:val="000000"/>
                <w:sz w:val="24"/>
              </w:rPr>
              <w:t>账号：</w:t>
            </w:r>
          </w:p>
        </w:tc>
        <w:tc>
          <w:tcPr>
            <w:tcW w:w="451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000000"/>
                <w:sz w:val="24"/>
              </w:rPr>
            </w:pPr>
            <w:r>
              <w:rPr>
                <w:rFonts w:hint="eastAsia" w:ascii="宋体" w:hAnsi="宋体" w:cs="宋体"/>
                <w:color w:val="000000"/>
                <w:sz w:val="24"/>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000000"/>
                <w:sz w:val="24"/>
              </w:rPr>
            </w:pPr>
            <w:r>
              <w:rPr>
                <w:rFonts w:hint="eastAsia" w:ascii="宋体" w:hAnsi="宋体" w:cs="宋体"/>
                <w:color w:val="000000"/>
                <w:sz w:val="24"/>
              </w:rPr>
              <w:t>邮政编码：</w:t>
            </w:r>
          </w:p>
        </w:tc>
        <w:tc>
          <w:tcPr>
            <w:tcW w:w="451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000000"/>
                <w:sz w:val="24"/>
              </w:rPr>
            </w:pPr>
            <w:r>
              <w:rPr>
                <w:rFonts w:hint="eastAsia" w:ascii="宋体" w:hAnsi="宋体" w:cs="宋体"/>
                <w:color w:val="000000"/>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6" w:hRule="atLeast"/>
          <w:jc w:val="center"/>
        </w:trPr>
        <w:tc>
          <w:tcPr>
            <w:tcW w:w="9033" w:type="dxa"/>
            <w:gridSpan w:val="2"/>
            <w:tcBorders>
              <w:top w:val="single" w:color="auto" w:sz="4" w:space="0"/>
              <w:left w:val="single" w:color="auto" w:sz="4" w:space="0"/>
              <w:bottom w:val="single" w:color="auto" w:sz="4" w:space="0"/>
              <w:right w:val="single" w:color="auto" w:sz="4" w:space="0"/>
            </w:tcBorders>
          </w:tcPr>
          <w:p>
            <w:pPr>
              <w:snapToGrid w:val="0"/>
              <w:spacing w:line="360" w:lineRule="auto"/>
              <w:ind w:left="2475" w:leftChars="1007" w:hanging="360" w:hangingChars="150"/>
              <w:rPr>
                <w:rFonts w:ascii="宋体" w:hAnsi="宋体" w:cs="宋体"/>
                <w:color w:val="000000"/>
                <w:sz w:val="24"/>
              </w:rPr>
            </w:pPr>
          </w:p>
          <w:p>
            <w:pPr>
              <w:snapToGrid w:val="0"/>
              <w:spacing w:line="360" w:lineRule="auto"/>
              <w:rPr>
                <w:rFonts w:ascii="宋体" w:hAnsi="宋体" w:cs="宋体"/>
                <w:color w:val="000000"/>
                <w:sz w:val="24"/>
              </w:rPr>
            </w:pPr>
            <w:r>
              <w:rPr>
                <w:rFonts w:hint="eastAsia" w:ascii="宋体" w:hAnsi="宋体" w:cs="宋体"/>
                <w:color w:val="000000"/>
                <w:sz w:val="24"/>
              </w:rPr>
              <w:t>经办人：</w:t>
            </w:r>
          </w:p>
          <w:p>
            <w:pPr>
              <w:snapToGrid w:val="0"/>
              <w:spacing w:line="360" w:lineRule="auto"/>
              <w:ind w:firstLine="720" w:firstLineChars="300"/>
              <w:jc w:val="right"/>
              <w:rPr>
                <w:rFonts w:ascii="宋体" w:hAnsi="宋体" w:cs="宋体"/>
                <w:color w:val="000000"/>
                <w:sz w:val="24"/>
              </w:rPr>
            </w:pPr>
            <w:r>
              <w:rPr>
                <w:rFonts w:hint="eastAsia" w:ascii="宋体" w:hAnsi="宋体" w:cs="宋体"/>
                <w:color w:val="000000"/>
                <w:sz w:val="24"/>
              </w:rPr>
              <w:t>年月日</w:t>
            </w:r>
          </w:p>
        </w:tc>
      </w:tr>
    </w:tbl>
    <w:p>
      <w:pPr>
        <w:widowControl/>
        <w:spacing w:before="312" w:after="312" w:line="520" w:lineRule="atLeast"/>
        <w:jc w:val="left"/>
        <w:textAlignment w:val="baseline"/>
        <w:rPr>
          <w:rFonts w:ascii="Times New Roman" w:hAnsi="Times New Roman" w:cs="Times New Roman"/>
          <w:sz w:val="28"/>
          <w:szCs w:val="28"/>
        </w:rPr>
      </w:pPr>
    </w:p>
    <w:p/>
    <w:sectPr>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A631EB"/>
    <w:rsid w:val="044F2D46"/>
    <w:rsid w:val="10A63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widowControl/>
      <w:spacing w:line="300" w:lineRule="auto"/>
      <w:ind w:firstLine="420"/>
      <w:jc w:val="left"/>
    </w:pPr>
    <w:rPr>
      <w:rFonts w:ascii="Times New Roman" w:hAnsi="Times New Roman" w:eastAsiaTheme="minorEastAsia" w:cstheme="minorBidi"/>
      <w:kern w:val="0"/>
      <w:sz w:val="24"/>
      <w:szCs w:val="24"/>
      <w:lang w:val="zh-CN"/>
    </w:rPr>
  </w:style>
  <w:style w:type="paragraph" w:styleId="5">
    <w:name w:val="Body Text"/>
    <w:basedOn w:val="1"/>
    <w:next w:val="6"/>
    <w:qFormat/>
    <w:uiPriority w:val="99"/>
    <w:pPr>
      <w:jc w:val="center"/>
    </w:pPr>
    <w:rPr>
      <w:rFonts w:ascii="Times New Roman" w:hAnsi="Times New Roman" w:cs="Times New Roman"/>
      <w:sz w:val="52"/>
      <w:szCs w:val="52"/>
    </w:rPr>
  </w:style>
  <w:style w:type="paragraph" w:styleId="6">
    <w:name w:val="Plain Text"/>
    <w:basedOn w:val="1"/>
    <w:next w:val="1"/>
    <w:qFormat/>
    <w:uiPriority w:val="0"/>
    <w:rPr>
      <w:rFonts w:ascii="宋体" w:hAnsi="Courier New" w:cs="宋体"/>
      <w:kern w:val="0"/>
      <w:sz w:val="20"/>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Normal (Web)"/>
    <w:basedOn w:val="1"/>
    <w:qFormat/>
    <w:uiPriority w:val="0"/>
    <w:rPr>
      <w:rFonts w:asciiTheme="minorHAnsi" w:hAnsiTheme="minorHAnsi" w:eastAsiaTheme="minorEastAsia" w:cstheme="minorBidi"/>
      <w:sz w:val="24"/>
      <w:szCs w:val="22"/>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2022-02-22T13:56:00Z</dcterms:created>
  <dc:creator>克元</dc:creator>
  <cp:lastModifiedBy>克元</cp:lastModifiedBy>
  <dcterms:modified xsi:type="dcterms:W3CDTF">2022-02-22T13:58:58Z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BD6BAC80B59D4924B80C6D6924670A8D</vt:lpwstr>
  </property>
</Properties>
</file>